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E340B" w14:textId="77777777" w:rsidR="00F10328"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phiếu dự toán đề nghị cấp kinh phí hỗ trợ tiền ăn, tiền ở và hỗ trợ gạo cho học sinh bán trú, học viên bán trú mới nhất năm 2025</w:t>
      </w:r>
    </w:p>
    <w:p w14:paraId="470F6E06" w14:textId="17848FFC" w:rsidR="00F10328"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Nhằm thực hiện chính sách an sinh giáo dục đối với vùng có điều kiện kinh tế - xã hội đặc biệt khó khăn, Nhà nước ban hành chế độ hỗ trợ tiền ăn, tiền ở và gạo cho học sinh, học viên bán trú theo các Nghị định</w:t>
      </w:r>
      <w:r w:rsidR="00D80C7D">
        <w:rPr>
          <w:rFonts w:ascii="Times New Roman" w:eastAsia="Times New Roman" w:hAnsi="Times New Roman" w:cs="Times New Roman"/>
          <w:i/>
          <w:sz w:val="28"/>
          <w:szCs w:val="28"/>
          <w:lang w:val="en-SG"/>
        </w:rPr>
        <w:t xml:space="preserve"> 66</w:t>
      </w:r>
      <w:r>
        <w:rPr>
          <w:rFonts w:ascii="Times New Roman" w:eastAsia="Times New Roman" w:hAnsi="Times New Roman" w:cs="Times New Roman"/>
          <w:i/>
          <w:sz w:val="28"/>
          <w:szCs w:val="28"/>
        </w:rPr>
        <w:t xml:space="preserve"> của Chính phủ. </w:t>
      </w:r>
      <w:r>
        <w:rPr>
          <w:rFonts w:ascii="Times New Roman" w:eastAsia="Times New Roman" w:hAnsi="Times New Roman" w:cs="Times New Roman"/>
          <w:i/>
          <w:sz w:val="28"/>
          <w:szCs w:val="28"/>
          <w:highlight w:val="white"/>
        </w:rPr>
        <w:t>Trong bài viết, Viet</w:t>
      </w:r>
      <w:r w:rsidR="00D80C7D">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 xml:space="preserve">ack sẽ cung cấp thông tin chi tiết về mẫu </w:t>
      </w:r>
      <w:r>
        <w:rPr>
          <w:rFonts w:ascii="Times New Roman" w:eastAsia="Times New Roman" w:hAnsi="Times New Roman" w:cs="Times New Roman"/>
          <w:i/>
          <w:sz w:val="28"/>
          <w:szCs w:val="28"/>
        </w:rPr>
        <w:t>phiếu dự toán đề nghị cấp kinh phí hỗ trợ tiền ăn, tiền ở và hỗ trợ gạo cho học sinh bán trú, học viên bán trú mới nhất năm 2025</w:t>
      </w:r>
      <w:r>
        <w:rPr>
          <w:rFonts w:ascii="Times New Roman" w:eastAsia="Times New Roman" w:hAnsi="Times New Roman" w:cs="Times New Roman"/>
          <w:i/>
          <w:sz w:val="28"/>
          <w:szCs w:val="28"/>
          <w:highlight w:val="white"/>
        </w:rPr>
        <w:t xml:space="preserve">. </w:t>
      </w:r>
      <w:r w:rsidR="00D80C7D">
        <w:rPr>
          <w:rFonts w:ascii="Times New Roman" w:eastAsia="Times New Roman" w:hAnsi="Times New Roman" w:cs="Times New Roman"/>
          <w:i/>
          <w:sz w:val="28"/>
          <w:szCs w:val="28"/>
          <w:highlight w:val="white"/>
          <w:lang w:val="en-SG"/>
        </w:rPr>
        <w:t>C</w:t>
      </w:r>
      <w:r>
        <w:rPr>
          <w:rFonts w:ascii="Times New Roman" w:eastAsia="Times New Roman" w:hAnsi="Times New Roman" w:cs="Times New Roman"/>
          <w:i/>
          <w:sz w:val="28"/>
          <w:szCs w:val="28"/>
          <w:highlight w:val="white"/>
        </w:rPr>
        <w:t>ùng theo dõi nhé!</w:t>
      </w:r>
    </w:p>
    <w:p w14:paraId="35FCC8D4" w14:textId="77777777" w:rsidR="00F1032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9A53AE1" wp14:editId="42D0A17B">
            <wp:extent cx="5943600" cy="3743960"/>
            <wp:effectExtent l="0" t="0" r="0" b="0"/>
            <wp:docPr id="2137841635" name="image1.jpg" descr="Dự kiến mức hỗ trợ bữa ăn trưa cho học sinh tiểu học và THCS xã biên giới  đất liền"/>
            <wp:cNvGraphicFramePr/>
            <a:graphic xmlns:a="http://schemas.openxmlformats.org/drawingml/2006/main">
              <a:graphicData uri="http://schemas.openxmlformats.org/drawingml/2006/picture">
                <pic:pic xmlns:pic="http://schemas.openxmlformats.org/drawingml/2006/picture">
                  <pic:nvPicPr>
                    <pic:cNvPr id="0" name="image1.jpg" descr="Dự kiến mức hỗ trợ bữa ăn trưa cho học sinh tiểu học và THCS xã biên giới  đất liền"/>
                    <pic:cNvPicPr preferRelativeResize="0"/>
                  </pic:nvPicPr>
                  <pic:blipFill>
                    <a:blip r:embed="rId6"/>
                    <a:srcRect/>
                    <a:stretch>
                      <a:fillRect/>
                    </a:stretch>
                  </pic:blipFill>
                  <pic:spPr>
                    <a:xfrm>
                      <a:off x="0" y="0"/>
                      <a:ext cx="5943600" cy="3743960"/>
                    </a:xfrm>
                    <a:prstGeom prst="rect">
                      <a:avLst/>
                    </a:prstGeom>
                    <a:ln/>
                  </pic:spPr>
                </pic:pic>
              </a:graphicData>
            </a:graphic>
          </wp:inline>
        </w:drawing>
      </w:r>
    </w:p>
    <w:p w14:paraId="3DB12F07" w14:textId="0DB3970D" w:rsidR="00F10328"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Dự toán đề nghị cấp kinh phí hỗ trợ là gì? (Ảnh: Internet)</w:t>
      </w:r>
    </w:p>
    <w:p w14:paraId="5165FA5B" w14:textId="7F20BE89" w:rsidR="00F10328" w:rsidRPr="00D80C7D"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D80C7D" w:rsidRPr="00D80C7D">
        <w:rPr>
          <w:rFonts w:ascii="Times New Roman" w:eastAsia="Times New Roman" w:hAnsi="Times New Roman" w:cs="Times New Roman"/>
          <w:b/>
          <w:color w:val="000000"/>
          <w:sz w:val="28"/>
          <w:szCs w:val="28"/>
        </w:rPr>
        <w:t>Mẫu phiếu dự toán đề nghị cấp kinh phí hỗ trợ tiền ăn, tiền ở và hỗ trợ gạo cho học sinh bán trú, học viên bán trú</w:t>
      </w:r>
      <w:r w:rsidR="00D80C7D">
        <w:rPr>
          <w:rFonts w:ascii="Times New Roman" w:eastAsia="Times New Roman" w:hAnsi="Times New Roman" w:cs="Times New Roman"/>
          <w:b/>
          <w:color w:val="000000"/>
          <w:sz w:val="28"/>
          <w:szCs w:val="28"/>
          <w:lang w:val="en-SG"/>
        </w:rPr>
        <w:t xml:space="preserve"> là gì? </w:t>
      </w:r>
    </w:p>
    <w:p w14:paraId="478E67D3" w14:textId="77777777" w:rsidR="00D80C7D" w:rsidRDefault="00D80C7D">
      <w:pPr>
        <w:spacing w:after="0" w:line="360" w:lineRule="auto"/>
        <w:jc w:val="both"/>
        <w:rPr>
          <w:rFonts w:ascii="Times New Roman" w:eastAsia="Times New Roman" w:hAnsi="Times New Roman" w:cs="Times New Roman"/>
          <w:iCs/>
          <w:color w:val="000000"/>
          <w:sz w:val="28"/>
          <w:szCs w:val="28"/>
          <w:lang w:val="en-SG"/>
        </w:rPr>
      </w:pPr>
      <w:r w:rsidRPr="00D80C7D">
        <w:rPr>
          <w:rFonts w:ascii="Times New Roman" w:eastAsia="Times New Roman" w:hAnsi="Times New Roman" w:cs="Times New Roman"/>
          <w:iCs/>
          <w:color w:val="000000"/>
          <w:sz w:val="28"/>
          <w:szCs w:val="28"/>
        </w:rPr>
        <w:t>Biểu mẫu này dùng để lập dự toán đề nghị cấp kinh phí hỗ trợ tiền ăn, tiền ở và gạo cho học sinh bán trú và học viên bán trú, theo quy định tại Nghị định 66/2025/NĐ-CP. Mẫu cần điền đầy đủ thông tin cần thiết để đảm bảo quyền lợi cho học sinh, học viên.</w:t>
      </w:r>
    </w:p>
    <w:p w14:paraId="1BB41566" w14:textId="39E2A987" w:rsidR="00F10328"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rPr>
        <w:t xml:space="preserve">2. </w:t>
      </w:r>
      <w:bookmarkStart w:id="0" w:name="_Hlk213404436"/>
      <w:r>
        <w:rPr>
          <w:rFonts w:ascii="Times New Roman" w:eastAsia="Times New Roman" w:hAnsi="Times New Roman" w:cs="Times New Roman"/>
          <w:b/>
          <w:color w:val="000000"/>
          <w:sz w:val="28"/>
          <w:szCs w:val="28"/>
        </w:rPr>
        <w:t xml:space="preserve">Mẫu Dự toán đề nghị cấp kinh phí hỗ trợ tiền ăn, tiền ở và gạo cho học sinh, học viên bán trú </w:t>
      </w:r>
      <w:r>
        <w:rPr>
          <w:rFonts w:ascii="Times New Roman" w:eastAsia="Times New Roman" w:hAnsi="Times New Roman" w:cs="Times New Roman"/>
          <w:b/>
          <w:sz w:val="28"/>
          <w:szCs w:val="28"/>
        </w:rPr>
        <w:t>mới nhất năm 2025</w:t>
      </w:r>
      <w:bookmarkEnd w:id="0"/>
    </w:p>
    <w:p w14:paraId="2D09B65D" w14:textId="38B9A992" w:rsidR="00D80C7D" w:rsidRPr="00D80C7D" w:rsidRDefault="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Cs/>
          <w:color w:val="000000"/>
          <w:sz w:val="28"/>
          <w:szCs w:val="28"/>
          <w:lang w:val="en-SG"/>
        </w:rPr>
        <w:lastRenderedPageBreak/>
        <w:t>Mẫu dự toán đề nghị cấp kinh phí hỗ trợ tiền ăn, tiền ở và hỗ trợ gạo cho học sinh bán trú, học viên bán trú hiện nay là mẫu số 07 được ban hành kèm theo Nghị định 66/2025/NĐ-CP có quy định như sau:</w:t>
      </w:r>
    </w:p>
    <w:tbl>
      <w:tblPr>
        <w:tblStyle w:val="a"/>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75"/>
      </w:tblGrid>
      <w:tr w:rsidR="00F10328" w14:paraId="1676EF53" w14:textId="77777777" w:rsidTr="00D80C7D">
        <w:tc>
          <w:tcPr>
            <w:tcW w:w="9975" w:type="dxa"/>
          </w:tcPr>
          <w:p w14:paraId="66A5BD26" w14:textId="77777777" w:rsidR="00F10328" w:rsidRDefault="00000000" w:rsidP="00D80C7D">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Mẫu số 07</w:t>
            </w:r>
          </w:p>
          <w:tbl>
            <w:tblPr>
              <w:tblStyle w:val="a0"/>
              <w:tblW w:w="9134" w:type="dxa"/>
              <w:tblLook w:val="0400" w:firstRow="0" w:lastRow="0" w:firstColumn="0" w:lastColumn="0" w:noHBand="0" w:noVBand="1"/>
            </w:tblPr>
            <w:tblGrid>
              <w:gridCol w:w="5834"/>
              <w:gridCol w:w="3300"/>
            </w:tblGrid>
            <w:tr w:rsidR="00F10328" w14:paraId="615FC4E6" w14:textId="77777777" w:rsidTr="00D80C7D">
              <w:tc>
                <w:tcPr>
                  <w:tcW w:w="5834" w:type="dxa"/>
                </w:tcPr>
                <w:p w14:paraId="7F564580" w14:textId="77777777" w:rsidR="00F10328" w:rsidRDefault="00000000">
                  <w:pPr>
                    <w:spacing w:after="0" w:line="360" w:lineRule="auto"/>
                    <w:jc w:val="center"/>
                    <w:rPr>
                      <w:rFonts w:ascii="Times New Roman" w:eastAsia="Times New Roman" w:hAnsi="Times New Roman" w:cs="Times New Roman"/>
                      <w:sz w:val="28"/>
                      <w:szCs w:val="28"/>
                    </w:rPr>
                  </w:pPr>
                  <w:bookmarkStart w:id="1" w:name="_Hlk213404452"/>
                  <w:r>
                    <w:rPr>
                      <w:rFonts w:ascii="Times New Roman" w:eastAsia="Times New Roman" w:hAnsi="Times New Roman" w:cs="Times New Roman"/>
                      <w:sz w:val="28"/>
                      <w:szCs w:val="28"/>
                    </w:rPr>
                    <w:t>ỦY BAN NHÂN DÂN …….</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PHÒNG/SỞ GIÁO DỤC VÀ ĐÀO TẠO</w:t>
                  </w:r>
                  <w:r>
                    <w:rPr>
                      <w:rFonts w:ascii="Times New Roman" w:eastAsia="Times New Roman" w:hAnsi="Times New Roman" w:cs="Times New Roman"/>
                      <w:b/>
                      <w:sz w:val="28"/>
                      <w:szCs w:val="28"/>
                    </w:rPr>
                    <w:br/>
                    <w:t>-------</w:t>
                  </w:r>
                </w:p>
              </w:tc>
              <w:tc>
                <w:tcPr>
                  <w:tcW w:w="3300" w:type="dxa"/>
                  <w:tcMar>
                    <w:left w:w="0" w:type="dxa"/>
                    <w:right w:w="0" w:type="dxa"/>
                  </w:tcMar>
                </w:tcPr>
                <w:p w14:paraId="2BB53284" w14:textId="77777777" w:rsidR="00F1032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32118851" w14:textId="4CE3BF62" w:rsidR="00F10328" w:rsidRPr="00D80C7D" w:rsidRDefault="00F10328" w:rsidP="00D80C7D">
            <w:pPr>
              <w:spacing w:line="360" w:lineRule="auto"/>
              <w:rPr>
                <w:rFonts w:ascii="Times New Roman" w:eastAsia="Times New Roman" w:hAnsi="Times New Roman" w:cs="Times New Roman"/>
                <w:sz w:val="28"/>
                <w:szCs w:val="28"/>
                <w:lang w:val="en-SG"/>
              </w:rPr>
            </w:pPr>
          </w:p>
          <w:p w14:paraId="65A76051" w14:textId="77777777" w:rsidR="00F10328"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DỰ TOÁN ĐỀ NGHỊ CẤP KINH PHÍ HỖ TRỢ TIỀN ĂN, TIỀN Ở VÀ HỖ TRỢ GẠO CHO HỌC SINH BÁN TRÚ, HỌC VIÊN BÁN TRÚ</w:t>
            </w:r>
          </w:p>
          <w:p w14:paraId="6126FBE9" w14:textId="3D3D16CF" w:rsidR="00F10328" w:rsidRDefault="00D80C7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5921B1D" wp14:editId="61857F0F">
                      <wp:simplePos x="0" y="0"/>
                      <wp:positionH relativeFrom="column">
                        <wp:posOffset>2588895</wp:posOffset>
                      </wp:positionH>
                      <wp:positionV relativeFrom="paragraph">
                        <wp:posOffset>307975</wp:posOffset>
                      </wp:positionV>
                      <wp:extent cx="962025" cy="0"/>
                      <wp:effectExtent l="0" t="0" r="0" b="0"/>
                      <wp:wrapNone/>
                      <wp:docPr id="1104858137" name="Straight Connector 1"/>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3050AF"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3.85pt,24.25pt" to="279.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" strokecolor="black [3200]" strokeweight=".5pt">
                      <v:stroke joinstyle="miter"/>
                    </v:line>
                  </w:pict>
                </mc:Fallback>
              </mc:AlternateContent>
            </w:r>
            <w:r w:rsidR="00000000">
              <w:rPr>
                <w:rFonts w:ascii="Times New Roman" w:eastAsia="Times New Roman" w:hAnsi="Times New Roman" w:cs="Times New Roman"/>
                <w:sz w:val="28"/>
                <w:szCs w:val="28"/>
              </w:rPr>
              <w:t>(Dùng cho Phòng/Sở Giáo dục và Đào tạo)</w:t>
            </w:r>
          </w:p>
          <w:p w14:paraId="2F9AF67B" w14:textId="77777777" w:rsidR="00F10328"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bl>
            <w:tblPr>
              <w:tblStyle w:val="a1"/>
              <w:tblW w:w="5000" w:type="pct"/>
              <w:tblLook w:val="0400" w:firstRow="0" w:lastRow="0" w:firstColumn="0" w:lastColumn="0" w:noHBand="0" w:noVBand="1"/>
            </w:tblPr>
            <w:tblGrid>
              <w:gridCol w:w="490"/>
              <w:gridCol w:w="1405"/>
              <w:gridCol w:w="1556"/>
              <w:gridCol w:w="1069"/>
              <w:gridCol w:w="1175"/>
              <w:gridCol w:w="1358"/>
              <w:gridCol w:w="1496"/>
              <w:gridCol w:w="1190"/>
            </w:tblGrid>
            <w:tr w:rsidR="00F10328" w14:paraId="3704CB3D" w14:textId="77777777" w:rsidTr="00D80C7D">
              <w:tc>
                <w:tcPr>
                  <w:tcW w:w="251" w:type="pct"/>
                  <w:tcBorders>
                    <w:top w:val="single" w:sz="8" w:space="0" w:color="000000"/>
                    <w:left w:val="single" w:sz="8" w:space="0" w:color="000000"/>
                    <w:bottom w:val="single" w:sz="8" w:space="0" w:color="000000"/>
                  </w:tcBorders>
                  <w:vAlign w:val="center"/>
                </w:tcPr>
                <w:p w14:paraId="66EEA88B"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TT</w:t>
                  </w:r>
                </w:p>
              </w:tc>
              <w:tc>
                <w:tcPr>
                  <w:tcW w:w="721" w:type="pct"/>
                  <w:tcBorders>
                    <w:top w:val="single" w:sz="8" w:space="0" w:color="000000"/>
                    <w:left w:val="single" w:sz="8" w:space="0" w:color="000000"/>
                    <w:bottom w:val="single" w:sz="8" w:space="0" w:color="000000"/>
                  </w:tcBorders>
                  <w:vAlign w:val="center"/>
                </w:tcPr>
                <w:p w14:paraId="6CC4D0DB" w14:textId="77777777" w:rsidR="00F1032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Tên cơ sở giáo dục</w:t>
                  </w:r>
                </w:p>
              </w:tc>
              <w:tc>
                <w:tcPr>
                  <w:tcW w:w="799" w:type="pct"/>
                  <w:tcBorders>
                    <w:top w:val="single" w:sz="8" w:space="0" w:color="000000"/>
                    <w:left w:val="single" w:sz="8" w:space="0" w:color="000000"/>
                    <w:bottom w:val="single" w:sz="8" w:space="0" w:color="000000"/>
                  </w:tcBorders>
                  <w:vAlign w:val="center"/>
                </w:tcPr>
                <w:p w14:paraId="558D6522" w14:textId="77777777" w:rsidR="00F1032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Số lượng HS bán trú, HV bán trú</w:t>
                  </w:r>
                </w:p>
              </w:tc>
              <w:tc>
                <w:tcPr>
                  <w:tcW w:w="549" w:type="pct"/>
                  <w:tcBorders>
                    <w:top w:val="single" w:sz="8" w:space="0" w:color="000000"/>
                    <w:left w:val="single" w:sz="8" w:space="0" w:color="000000"/>
                    <w:bottom w:val="single" w:sz="8" w:space="0" w:color="000000"/>
                  </w:tcBorders>
                  <w:vAlign w:val="center"/>
                </w:tcPr>
                <w:p w14:paraId="2C6DA1B2" w14:textId="77777777" w:rsidR="00F1032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Số tháng hỗ trợ</w:t>
                  </w:r>
                </w:p>
              </w:tc>
              <w:tc>
                <w:tcPr>
                  <w:tcW w:w="603" w:type="pct"/>
                  <w:tcBorders>
                    <w:top w:val="single" w:sz="8" w:space="0" w:color="000000"/>
                    <w:left w:val="single" w:sz="8" w:space="0" w:color="000000"/>
                    <w:bottom w:val="single" w:sz="8" w:space="0" w:color="000000"/>
                  </w:tcBorders>
                  <w:vAlign w:val="center"/>
                </w:tcPr>
                <w:p w14:paraId="04E0E310" w14:textId="77777777" w:rsidR="00F1032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Tổng số tiền ăn được hỗ trợ/năm</w:t>
                  </w:r>
                </w:p>
              </w:tc>
              <w:tc>
                <w:tcPr>
                  <w:tcW w:w="697" w:type="pct"/>
                  <w:tcBorders>
                    <w:top w:val="single" w:sz="8" w:space="0" w:color="000000"/>
                    <w:left w:val="single" w:sz="8" w:space="0" w:color="000000"/>
                    <w:bottom w:val="single" w:sz="8" w:space="0" w:color="000000"/>
                  </w:tcBorders>
                  <w:vAlign w:val="center"/>
                </w:tcPr>
                <w:p w14:paraId="42739589" w14:textId="77777777" w:rsidR="00F1032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Tổng số tiền ở được hỗ trợ/năm</w:t>
                  </w:r>
                </w:p>
              </w:tc>
              <w:tc>
                <w:tcPr>
                  <w:tcW w:w="768" w:type="pct"/>
                  <w:tcBorders>
                    <w:top w:val="single" w:sz="8" w:space="0" w:color="000000"/>
                    <w:left w:val="single" w:sz="8" w:space="0" w:color="000000"/>
                    <w:bottom w:val="single" w:sz="8" w:space="0" w:color="000000"/>
                  </w:tcBorders>
                  <w:vAlign w:val="center"/>
                </w:tcPr>
                <w:p w14:paraId="673C6F80" w14:textId="77777777" w:rsidR="00F1032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Tổng số gạo được hỗ trợ/năm (kg)</w:t>
                  </w:r>
                </w:p>
              </w:tc>
              <w:tc>
                <w:tcPr>
                  <w:tcW w:w="611" w:type="pct"/>
                  <w:tcBorders>
                    <w:top w:val="single" w:sz="8" w:space="0" w:color="000000"/>
                    <w:left w:val="single" w:sz="8" w:space="0" w:color="000000"/>
                    <w:bottom w:val="single" w:sz="8" w:space="0" w:color="000000"/>
                    <w:right w:val="single" w:sz="8" w:space="0" w:color="000000"/>
                  </w:tcBorders>
                  <w:vAlign w:val="center"/>
                </w:tcPr>
                <w:p w14:paraId="148E6D53" w14:textId="77777777" w:rsidR="00F1032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Ghi chú</w:t>
                  </w:r>
                </w:p>
              </w:tc>
            </w:tr>
            <w:tr w:rsidR="00F10328" w14:paraId="1BD21833" w14:textId="77777777" w:rsidTr="00D80C7D">
              <w:tc>
                <w:tcPr>
                  <w:tcW w:w="251" w:type="pct"/>
                  <w:tcBorders>
                    <w:left w:val="single" w:sz="8" w:space="0" w:color="000000"/>
                    <w:bottom w:val="single" w:sz="8" w:space="0" w:color="000000"/>
                  </w:tcBorders>
                  <w:vAlign w:val="center"/>
                </w:tcPr>
                <w:p w14:paraId="4DF5C4F1"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21" w:type="pct"/>
                  <w:tcBorders>
                    <w:left w:val="single" w:sz="8" w:space="0" w:color="000000"/>
                    <w:bottom w:val="single" w:sz="8" w:space="0" w:color="000000"/>
                  </w:tcBorders>
                  <w:vAlign w:val="center"/>
                </w:tcPr>
                <w:p w14:paraId="68912CF6"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99" w:type="pct"/>
                  <w:tcBorders>
                    <w:left w:val="single" w:sz="8" w:space="0" w:color="000000"/>
                    <w:bottom w:val="single" w:sz="8" w:space="0" w:color="000000"/>
                  </w:tcBorders>
                  <w:vAlign w:val="center"/>
                </w:tcPr>
                <w:p w14:paraId="2476CA49"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9" w:type="pct"/>
                  <w:tcBorders>
                    <w:left w:val="single" w:sz="8" w:space="0" w:color="000000"/>
                    <w:bottom w:val="single" w:sz="8" w:space="0" w:color="000000"/>
                  </w:tcBorders>
                  <w:vAlign w:val="center"/>
                </w:tcPr>
                <w:p w14:paraId="7C3B2217"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3" w:type="pct"/>
                  <w:tcBorders>
                    <w:left w:val="single" w:sz="8" w:space="0" w:color="000000"/>
                    <w:bottom w:val="single" w:sz="8" w:space="0" w:color="000000"/>
                  </w:tcBorders>
                  <w:vAlign w:val="center"/>
                </w:tcPr>
                <w:p w14:paraId="0397C8D1"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97" w:type="pct"/>
                  <w:tcBorders>
                    <w:left w:val="single" w:sz="8" w:space="0" w:color="000000"/>
                    <w:bottom w:val="single" w:sz="8" w:space="0" w:color="000000"/>
                  </w:tcBorders>
                  <w:vAlign w:val="center"/>
                </w:tcPr>
                <w:p w14:paraId="70FFA229"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68" w:type="pct"/>
                  <w:tcBorders>
                    <w:left w:val="single" w:sz="8" w:space="0" w:color="000000"/>
                    <w:bottom w:val="single" w:sz="8" w:space="0" w:color="000000"/>
                  </w:tcBorders>
                  <w:vAlign w:val="center"/>
                </w:tcPr>
                <w:p w14:paraId="19FCED7E"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11" w:type="pct"/>
                  <w:tcBorders>
                    <w:left w:val="single" w:sz="8" w:space="0" w:color="000000"/>
                    <w:bottom w:val="single" w:sz="8" w:space="0" w:color="000000"/>
                    <w:right w:val="single" w:sz="8" w:space="0" w:color="000000"/>
                  </w:tcBorders>
                  <w:vAlign w:val="center"/>
                </w:tcPr>
                <w:p w14:paraId="172FB226"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F10328" w14:paraId="5B484624" w14:textId="77777777" w:rsidTr="00D80C7D">
              <w:tc>
                <w:tcPr>
                  <w:tcW w:w="251" w:type="pct"/>
                  <w:tcBorders>
                    <w:left w:val="single" w:sz="8" w:space="0" w:color="000000"/>
                    <w:bottom w:val="single" w:sz="8" w:space="0" w:color="000000"/>
                  </w:tcBorders>
                  <w:vAlign w:val="center"/>
                </w:tcPr>
                <w:p w14:paraId="65F71F70"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21" w:type="pct"/>
                  <w:tcBorders>
                    <w:left w:val="single" w:sz="8" w:space="0" w:color="000000"/>
                    <w:bottom w:val="single" w:sz="8" w:space="0" w:color="000000"/>
                  </w:tcBorders>
                  <w:vAlign w:val="center"/>
                </w:tcPr>
                <w:p w14:paraId="547DED65"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99" w:type="pct"/>
                  <w:tcBorders>
                    <w:left w:val="single" w:sz="8" w:space="0" w:color="000000"/>
                    <w:bottom w:val="single" w:sz="8" w:space="0" w:color="000000"/>
                  </w:tcBorders>
                  <w:vAlign w:val="center"/>
                </w:tcPr>
                <w:p w14:paraId="7E091022"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9" w:type="pct"/>
                  <w:tcBorders>
                    <w:left w:val="single" w:sz="8" w:space="0" w:color="000000"/>
                    <w:bottom w:val="single" w:sz="8" w:space="0" w:color="000000"/>
                  </w:tcBorders>
                  <w:vAlign w:val="center"/>
                </w:tcPr>
                <w:p w14:paraId="3CBCDD64"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3" w:type="pct"/>
                  <w:tcBorders>
                    <w:left w:val="single" w:sz="8" w:space="0" w:color="000000"/>
                    <w:bottom w:val="single" w:sz="8" w:space="0" w:color="000000"/>
                  </w:tcBorders>
                  <w:vAlign w:val="center"/>
                </w:tcPr>
                <w:p w14:paraId="348614AE"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97" w:type="pct"/>
                  <w:tcBorders>
                    <w:left w:val="single" w:sz="8" w:space="0" w:color="000000"/>
                    <w:bottom w:val="single" w:sz="8" w:space="0" w:color="000000"/>
                  </w:tcBorders>
                  <w:vAlign w:val="center"/>
                </w:tcPr>
                <w:p w14:paraId="16D41867"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68" w:type="pct"/>
                  <w:tcBorders>
                    <w:left w:val="single" w:sz="8" w:space="0" w:color="000000"/>
                    <w:bottom w:val="single" w:sz="8" w:space="0" w:color="000000"/>
                  </w:tcBorders>
                  <w:vAlign w:val="center"/>
                </w:tcPr>
                <w:p w14:paraId="61B8DBF1"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11" w:type="pct"/>
                  <w:tcBorders>
                    <w:left w:val="single" w:sz="8" w:space="0" w:color="000000"/>
                    <w:bottom w:val="single" w:sz="8" w:space="0" w:color="000000"/>
                    <w:right w:val="single" w:sz="8" w:space="0" w:color="000000"/>
                  </w:tcBorders>
                  <w:vAlign w:val="center"/>
                </w:tcPr>
                <w:p w14:paraId="0BDA930E"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F10328" w14:paraId="1939D232" w14:textId="77777777" w:rsidTr="00D80C7D">
              <w:tc>
                <w:tcPr>
                  <w:tcW w:w="251" w:type="pct"/>
                  <w:tcBorders>
                    <w:left w:val="single" w:sz="8" w:space="0" w:color="000000"/>
                    <w:bottom w:val="single" w:sz="8" w:space="0" w:color="000000"/>
                  </w:tcBorders>
                  <w:vAlign w:val="center"/>
                </w:tcPr>
                <w:p w14:paraId="7EB7CCE8"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21" w:type="pct"/>
                  <w:tcBorders>
                    <w:left w:val="single" w:sz="8" w:space="0" w:color="000000"/>
                    <w:bottom w:val="single" w:sz="8" w:space="0" w:color="000000"/>
                  </w:tcBorders>
                  <w:vAlign w:val="center"/>
                </w:tcPr>
                <w:p w14:paraId="6C3CEDD2"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99" w:type="pct"/>
                  <w:tcBorders>
                    <w:left w:val="single" w:sz="8" w:space="0" w:color="000000"/>
                    <w:bottom w:val="single" w:sz="8" w:space="0" w:color="000000"/>
                  </w:tcBorders>
                  <w:vAlign w:val="center"/>
                </w:tcPr>
                <w:p w14:paraId="787C6FC5"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9" w:type="pct"/>
                  <w:tcBorders>
                    <w:left w:val="single" w:sz="8" w:space="0" w:color="000000"/>
                    <w:bottom w:val="single" w:sz="8" w:space="0" w:color="000000"/>
                  </w:tcBorders>
                  <w:vAlign w:val="center"/>
                </w:tcPr>
                <w:p w14:paraId="58D8DAB7"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3" w:type="pct"/>
                  <w:tcBorders>
                    <w:left w:val="single" w:sz="8" w:space="0" w:color="000000"/>
                    <w:bottom w:val="single" w:sz="8" w:space="0" w:color="000000"/>
                  </w:tcBorders>
                  <w:vAlign w:val="center"/>
                </w:tcPr>
                <w:p w14:paraId="124B8BF4"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97" w:type="pct"/>
                  <w:tcBorders>
                    <w:left w:val="single" w:sz="8" w:space="0" w:color="000000"/>
                    <w:bottom w:val="single" w:sz="8" w:space="0" w:color="000000"/>
                  </w:tcBorders>
                  <w:vAlign w:val="center"/>
                </w:tcPr>
                <w:p w14:paraId="7744D193"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68" w:type="pct"/>
                  <w:tcBorders>
                    <w:left w:val="single" w:sz="8" w:space="0" w:color="000000"/>
                    <w:bottom w:val="single" w:sz="8" w:space="0" w:color="000000"/>
                  </w:tcBorders>
                  <w:vAlign w:val="center"/>
                </w:tcPr>
                <w:p w14:paraId="2628EE9D"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11" w:type="pct"/>
                  <w:tcBorders>
                    <w:left w:val="single" w:sz="8" w:space="0" w:color="000000"/>
                    <w:bottom w:val="single" w:sz="8" w:space="0" w:color="000000"/>
                    <w:right w:val="single" w:sz="8" w:space="0" w:color="000000"/>
                  </w:tcBorders>
                  <w:vAlign w:val="center"/>
                </w:tcPr>
                <w:p w14:paraId="0B56BA68"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F10328" w14:paraId="7602CE52" w14:textId="77777777" w:rsidTr="00D80C7D">
              <w:tc>
                <w:tcPr>
                  <w:tcW w:w="251" w:type="pct"/>
                  <w:tcBorders>
                    <w:left w:val="single" w:sz="8" w:space="0" w:color="000000"/>
                    <w:bottom w:val="single" w:sz="8" w:space="0" w:color="000000"/>
                  </w:tcBorders>
                  <w:vAlign w:val="center"/>
                </w:tcPr>
                <w:p w14:paraId="5A41744C"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21" w:type="pct"/>
                  <w:tcBorders>
                    <w:left w:val="single" w:sz="8" w:space="0" w:color="000000"/>
                    <w:bottom w:val="single" w:sz="8" w:space="0" w:color="000000"/>
                  </w:tcBorders>
                  <w:vAlign w:val="center"/>
                </w:tcPr>
                <w:p w14:paraId="1C1760ED"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99" w:type="pct"/>
                  <w:tcBorders>
                    <w:left w:val="single" w:sz="8" w:space="0" w:color="000000"/>
                    <w:bottom w:val="single" w:sz="8" w:space="0" w:color="000000"/>
                  </w:tcBorders>
                  <w:vAlign w:val="center"/>
                </w:tcPr>
                <w:p w14:paraId="47EE2B5B"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9" w:type="pct"/>
                  <w:tcBorders>
                    <w:left w:val="single" w:sz="8" w:space="0" w:color="000000"/>
                    <w:bottom w:val="single" w:sz="8" w:space="0" w:color="000000"/>
                  </w:tcBorders>
                  <w:vAlign w:val="center"/>
                </w:tcPr>
                <w:p w14:paraId="170211EF"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3" w:type="pct"/>
                  <w:tcBorders>
                    <w:left w:val="single" w:sz="8" w:space="0" w:color="000000"/>
                    <w:bottom w:val="single" w:sz="8" w:space="0" w:color="000000"/>
                  </w:tcBorders>
                  <w:vAlign w:val="center"/>
                </w:tcPr>
                <w:p w14:paraId="4576C96D"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97" w:type="pct"/>
                  <w:tcBorders>
                    <w:left w:val="single" w:sz="8" w:space="0" w:color="000000"/>
                    <w:bottom w:val="single" w:sz="8" w:space="0" w:color="000000"/>
                  </w:tcBorders>
                  <w:vAlign w:val="center"/>
                </w:tcPr>
                <w:p w14:paraId="791A3F00"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68" w:type="pct"/>
                  <w:tcBorders>
                    <w:left w:val="single" w:sz="8" w:space="0" w:color="000000"/>
                    <w:bottom w:val="single" w:sz="8" w:space="0" w:color="000000"/>
                  </w:tcBorders>
                  <w:vAlign w:val="center"/>
                </w:tcPr>
                <w:p w14:paraId="7EEFCC1F"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11" w:type="pct"/>
                  <w:tcBorders>
                    <w:left w:val="single" w:sz="8" w:space="0" w:color="000000"/>
                    <w:bottom w:val="single" w:sz="8" w:space="0" w:color="000000"/>
                    <w:right w:val="single" w:sz="8" w:space="0" w:color="000000"/>
                  </w:tcBorders>
                  <w:vAlign w:val="center"/>
                </w:tcPr>
                <w:p w14:paraId="5076BB78"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F10328" w14:paraId="0099AF39" w14:textId="77777777" w:rsidTr="00D80C7D">
              <w:tc>
                <w:tcPr>
                  <w:tcW w:w="251" w:type="pct"/>
                  <w:tcBorders>
                    <w:left w:val="single" w:sz="8" w:space="0" w:color="000000"/>
                    <w:bottom w:val="single" w:sz="8" w:space="0" w:color="000000"/>
                  </w:tcBorders>
                  <w:vAlign w:val="center"/>
                </w:tcPr>
                <w:p w14:paraId="64B216EC"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21" w:type="pct"/>
                  <w:tcBorders>
                    <w:left w:val="single" w:sz="8" w:space="0" w:color="000000"/>
                    <w:bottom w:val="single" w:sz="8" w:space="0" w:color="000000"/>
                  </w:tcBorders>
                  <w:vAlign w:val="center"/>
                </w:tcPr>
                <w:p w14:paraId="1F2654BF"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99" w:type="pct"/>
                  <w:tcBorders>
                    <w:left w:val="single" w:sz="8" w:space="0" w:color="000000"/>
                    <w:bottom w:val="single" w:sz="8" w:space="0" w:color="000000"/>
                  </w:tcBorders>
                  <w:vAlign w:val="center"/>
                </w:tcPr>
                <w:p w14:paraId="1C8DE447"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9" w:type="pct"/>
                  <w:tcBorders>
                    <w:left w:val="single" w:sz="8" w:space="0" w:color="000000"/>
                    <w:bottom w:val="single" w:sz="8" w:space="0" w:color="000000"/>
                  </w:tcBorders>
                  <w:vAlign w:val="center"/>
                </w:tcPr>
                <w:p w14:paraId="0A7B36D0"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3" w:type="pct"/>
                  <w:tcBorders>
                    <w:left w:val="single" w:sz="8" w:space="0" w:color="000000"/>
                    <w:bottom w:val="single" w:sz="8" w:space="0" w:color="000000"/>
                  </w:tcBorders>
                  <w:vAlign w:val="center"/>
                </w:tcPr>
                <w:p w14:paraId="33F273D3"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97" w:type="pct"/>
                  <w:tcBorders>
                    <w:left w:val="single" w:sz="8" w:space="0" w:color="000000"/>
                    <w:bottom w:val="single" w:sz="8" w:space="0" w:color="000000"/>
                  </w:tcBorders>
                  <w:vAlign w:val="center"/>
                </w:tcPr>
                <w:p w14:paraId="77522A35"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68" w:type="pct"/>
                  <w:tcBorders>
                    <w:left w:val="single" w:sz="8" w:space="0" w:color="000000"/>
                    <w:bottom w:val="single" w:sz="8" w:space="0" w:color="000000"/>
                  </w:tcBorders>
                  <w:vAlign w:val="center"/>
                </w:tcPr>
                <w:p w14:paraId="262A3B2D"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11" w:type="pct"/>
                  <w:tcBorders>
                    <w:left w:val="single" w:sz="8" w:space="0" w:color="000000"/>
                    <w:bottom w:val="single" w:sz="8" w:space="0" w:color="000000"/>
                    <w:right w:val="single" w:sz="8" w:space="0" w:color="000000"/>
                  </w:tcBorders>
                  <w:vAlign w:val="center"/>
                </w:tcPr>
                <w:p w14:paraId="3D2CF401"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F10328" w14:paraId="21AC2BC4" w14:textId="77777777" w:rsidTr="00D80C7D">
              <w:tc>
                <w:tcPr>
                  <w:tcW w:w="251" w:type="pct"/>
                  <w:tcBorders>
                    <w:left w:val="single" w:sz="8" w:space="0" w:color="000000"/>
                    <w:bottom w:val="single" w:sz="8" w:space="0" w:color="000000"/>
                  </w:tcBorders>
                  <w:vAlign w:val="center"/>
                </w:tcPr>
                <w:p w14:paraId="22E3BD8E"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21" w:type="pct"/>
                  <w:tcBorders>
                    <w:left w:val="single" w:sz="8" w:space="0" w:color="000000"/>
                    <w:bottom w:val="single" w:sz="8" w:space="0" w:color="000000"/>
                  </w:tcBorders>
                  <w:vAlign w:val="center"/>
                </w:tcPr>
                <w:p w14:paraId="15EBABA2"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99" w:type="pct"/>
                  <w:tcBorders>
                    <w:left w:val="single" w:sz="8" w:space="0" w:color="000000"/>
                    <w:bottom w:val="single" w:sz="8" w:space="0" w:color="000000"/>
                  </w:tcBorders>
                  <w:vAlign w:val="center"/>
                </w:tcPr>
                <w:p w14:paraId="0D2429ED"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9" w:type="pct"/>
                  <w:tcBorders>
                    <w:left w:val="single" w:sz="8" w:space="0" w:color="000000"/>
                    <w:bottom w:val="single" w:sz="8" w:space="0" w:color="000000"/>
                  </w:tcBorders>
                  <w:vAlign w:val="center"/>
                </w:tcPr>
                <w:p w14:paraId="3F69308B"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3" w:type="pct"/>
                  <w:tcBorders>
                    <w:left w:val="single" w:sz="8" w:space="0" w:color="000000"/>
                    <w:bottom w:val="single" w:sz="8" w:space="0" w:color="000000"/>
                  </w:tcBorders>
                  <w:vAlign w:val="center"/>
                </w:tcPr>
                <w:p w14:paraId="4178129C"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97" w:type="pct"/>
                  <w:tcBorders>
                    <w:left w:val="single" w:sz="8" w:space="0" w:color="000000"/>
                    <w:bottom w:val="single" w:sz="8" w:space="0" w:color="000000"/>
                  </w:tcBorders>
                  <w:vAlign w:val="center"/>
                </w:tcPr>
                <w:p w14:paraId="366EBF31"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68" w:type="pct"/>
                  <w:tcBorders>
                    <w:left w:val="single" w:sz="8" w:space="0" w:color="000000"/>
                    <w:bottom w:val="single" w:sz="8" w:space="0" w:color="000000"/>
                  </w:tcBorders>
                  <w:vAlign w:val="center"/>
                </w:tcPr>
                <w:p w14:paraId="51A99071"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11" w:type="pct"/>
                  <w:tcBorders>
                    <w:left w:val="single" w:sz="8" w:space="0" w:color="000000"/>
                    <w:bottom w:val="single" w:sz="8" w:space="0" w:color="000000"/>
                    <w:right w:val="single" w:sz="8" w:space="0" w:color="000000"/>
                  </w:tcBorders>
                  <w:vAlign w:val="center"/>
                </w:tcPr>
                <w:p w14:paraId="7117307D"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F10328" w14:paraId="46F4A74A" w14:textId="77777777" w:rsidTr="00D80C7D">
              <w:tc>
                <w:tcPr>
                  <w:tcW w:w="251" w:type="pct"/>
                  <w:tcBorders>
                    <w:left w:val="single" w:sz="8" w:space="0" w:color="000000"/>
                    <w:bottom w:val="single" w:sz="8" w:space="0" w:color="000000"/>
                  </w:tcBorders>
                  <w:vAlign w:val="center"/>
                </w:tcPr>
                <w:p w14:paraId="6517B785"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21" w:type="pct"/>
                  <w:tcBorders>
                    <w:left w:val="single" w:sz="8" w:space="0" w:color="000000"/>
                    <w:bottom w:val="single" w:sz="8" w:space="0" w:color="000000"/>
                  </w:tcBorders>
                  <w:vAlign w:val="center"/>
                </w:tcPr>
                <w:p w14:paraId="59E867CB"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99" w:type="pct"/>
                  <w:tcBorders>
                    <w:left w:val="single" w:sz="8" w:space="0" w:color="000000"/>
                    <w:bottom w:val="single" w:sz="8" w:space="0" w:color="000000"/>
                  </w:tcBorders>
                  <w:vAlign w:val="center"/>
                </w:tcPr>
                <w:p w14:paraId="43E2C7F6"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9" w:type="pct"/>
                  <w:tcBorders>
                    <w:left w:val="single" w:sz="8" w:space="0" w:color="000000"/>
                    <w:bottom w:val="single" w:sz="8" w:space="0" w:color="000000"/>
                  </w:tcBorders>
                  <w:vAlign w:val="center"/>
                </w:tcPr>
                <w:p w14:paraId="6E1E13D0"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3" w:type="pct"/>
                  <w:tcBorders>
                    <w:left w:val="single" w:sz="8" w:space="0" w:color="000000"/>
                    <w:bottom w:val="single" w:sz="8" w:space="0" w:color="000000"/>
                  </w:tcBorders>
                  <w:vAlign w:val="center"/>
                </w:tcPr>
                <w:p w14:paraId="12EAFE8A"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97" w:type="pct"/>
                  <w:tcBorders>
                    <w:left w:val="single" w:sz="8" w:space="0" w:color="000000"/>
                    <w:bottom w:val="single" w:sz="8" w:space="0" w:color="000000"/>
                  </w:tcBorders>
                  <w:vAlign w:val="center"/>
                </w:tcPr>
                <w:p w14:paraId="5C339DDE"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68" w:type="pct"/>
                  <w:tcBorders>
                    <w:left w:val="single" w:sz="8" w:space="0" w:color="000000"/>
                    <w:bottom w:val="single" w:sz="8" w:space="0" w:color="000000"/>
                  </w:tcBorders>
                  <w:vAlign w:val="center"/>
                </w:tcPr>
                <w:p w14:paraId="433C2E28"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11" w:type="pct"/>
                  <w:tcBorders>
                    <w:left w:val="single" w:sz="8" w:space="0" w:color="000000"/>
                    <w:bottom w:val="single" w:sz="8" w:space="0" w:color="000000"/>
                    <w:right w:val="single" w:sz="8" w:space="0" w:color="000000"/>
                  </w:tcBorders>
                  <w:vAlign w:val="center"/>
                </w:tcPr>
                <w:p w14:paraId="76C38C92"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F10328" w14:paraId="70B49327" w14:textId="77777777" w:rsidTr="00D80C7D">
              <w:tc>
                <w:tcPr>
                  <w:tcW w:w="251" w:type="pct"/>
                  <w:tcBorders>
                    <w:left w:val="single" w:sz="8" w:space="0" w:color="000000"/>
                    <w:bottom w:val="single" w:sz="8" w:space="0" w:color="000000"/>
                  </w:tcBorders>
                  <w:vAlign w:val="center"/>
                </w:tcPr>
                <w:p w14:paraId="32C28B3D"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21" w:type="pct"/>
                  <w:tcBorders>
                    <w:left w:val="single" w:sz="8" w:space="0" w:color="000000"/>
                    <w:bottom w:val="single" w:sz="8" w:space="0" w:color="000000"/>
                  </w:tcBorders>
                  <w:vAlign w:val="center"/>
                </w:tcPr>
                <w:p w14:paraId="6C647654"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99" w:type="pct"/>
                  <w:tcBorders>
                    <w:left w:val="single" w:sz="8" w:space="0" w:color="000000"/>
                    <w:bottom w:val="single" w:sz="8" w:space="0" w:color="000000"/>
                  </w:tcBorders>
                  <w:vAlign w:val="center"/>
                </w:tcPr>
                <w:p w14:paraId="651C662E"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9" w:type="pct"/>
                  <w:tcBorders>
                    <w:left w:val="single" w:sz="8" w:space="0" w:color="000000"/>
                    <w:bottom w:val="single" w:sz="8" w:space="0" w:color="000000"/>
                  </w:tcBorders>
                  <w:vAlign w:val="center"/>
                </w:tcPr>
                <w:p w14:paraId="0D88E1AF"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3" w:type="pct"/>
                  <w:tcBorders>
                    <w:left w:val="single" w:sz="8" w:space="0" w:color="000000"/>
                    <w:bottom w:val="single" w:sz="8" w:space="0" w:color="000000"/>
                  </w:tcBorders>
                  <w:vAlign w:val="center"/>
                </w:tcPr>
                <w:p w14:paraId="5746AA6C"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97" w:type="pct"/>
                  <w:tcBorders>
                    <w:left w:val="single" w:sz="8" w:space="0" w:color="000000"/>
                    <w:bottom w:val="single" w:sz="8" w:space="0" w:color="000000"/>
                  </w:tcBorders>
                  <w:vAlign w:val="center"/>
                </w:tcPr>
                <w:p w14:paraId="4D04E5BF"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68" w:type="pct"/>
                  <w:tcBorders>
                    <w:left w:val="single" w:sz="8" w:space="0" w:color="000000"/>
                    <w:bottom w:val="single" w:sz="8" w:space="0" w:color="000000"/>
                  </w:tcBorders>
                  <w:vAlign w:val="center"/>
                </w:tcPr>
                <w:p w14:paraId="4FEEBB89"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11" w:type="pct"/>
                  <w:tcBorders>
                    <w:left w:val="single" w:sz="8" w:space="0" w:color="000000"/>
                    <w:bottom w:val="single" w:sz="8" w:space="0" w:color="000000"/>
                    <w:right w:val="single" w:sz="8" w:space="0" w:color="000000"/>
                  </w:tcBorders>
                  <w:vAlign w:val="center"/>
                </w:tcPr>
                <w:p w14:paraId="149D46DF"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F10328" w14:paraId="6849E905" w14:textId="77777777" w:rsidTr="00D80C7D">
              <w:tc>
                <w:tcPr>
                  <w:tcW w:w="251" w:type="pct"/>
                  <w:tcBorders>
                    <w:left w:val="single" w:sz="8" w:space="0" w:color="000000"/>
                    <w:bottom w:val="single" w:sz="8" w:space="0" w:color="000000"/>
                  </w:tcBorders>
                  <w:vAlign w:val="center"/>
                </w:tcPr>
                <w:p w14:paraId="5A7E3D92"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21" w:type="pct"/>
                  <w:tcBorders>
                    <w:left w:val="single" w:sz="8" w:space="0" w:color="000000"/>
                    <w:bottom w:val="single" w:sz="8" w:space="0" w:color="000000"/>
                  </w:tcBorders>
                  <w:vAlign w:val="center"/>
                </w:tcPr>
                <w:p w14:paraId="380CF45D"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Tổng cộng</w:t>
                  </w:r>
                </w:p>
              </w:tc>
              <w:tc>
                <w:tcPr>
                  <w:tcW w:w="799" w:type="pct"/>
                  <w:tcBorders>
                    <w:left w:val="single" w:sz="8" w:space="0" w:color="000000"/>
                    <w:bottom w:val="single" w:sz="8" w:space="0" w:color="000000"/>
                  </w:tcBorders>
                  <w:vAlign w:val="center"/>
                </w:tcPr>
                <w:p w14:paraId="640763F5"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9" w:type="pct"/>
                  <w:tcBorders>
                    <w:left w:val="single" w:sz="8" w:space="0" w:color="000000"/>
                    <w:bottom w:val="single" w:sz="8" w:space="0" w:color="000000"/>
                  </w:tcBorders>
                  <w:vAlign w:val="center"/>
                </w:tcPr>
                <w:p w14:paraId="0A92957C"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3" w:type="pct"/>
                  <w:tcBorders>
                    <w:left w:val="single" w:sz="8" w:space="0" w:color="000000"/>
                    <w:bottom w:val="single" w:sz="8" w:space="0" w:color="000000"/>
                  </w:tcBorders>
                  <w:vAlign w:val="center"/>
                </w:tcPr>
                <w:p w14:paraId="347D639B"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97" w:type="pct"/>
                  <w:tcBorders>
                    <w:left w:val="single" w:sz="8" w:space="0" w:color="000000"/>
                    <w:bottom w:val="single" w:sz="8" w:space="0" w:color="000000"/>
                  </w:tcBorders>
                  <w:vAlign w:val="center"/>
                </w:tcPr>
                <w:p w14:paraId="4962F591"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68" w:type="pct"/>
                  <w:tcBorders>
                    <w:left w:val="single" w:sz="8" w:space="0" w:color="000000"/>
                    <w:bottom w:val="single" w:sz="8" w:space="0" w:color="000000"/>
                  </w:tcBorders>
                  <w:vAlign w:val="center"/>
                </w:tcPr>
                <w:p w14:paraId="7473A7B8"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11" w:type="pct"/>
                  <w:tcBorders>
                    <w:left w:val="single" w:sz="8" w:space="0" w:color="000000"/>
                    <w:bottom w:val="single" w:sz="8" w:space="0" w:color="000000"/>
                    <w:right w:val="single" w:sz="8" w:space="0" w:color="000000"/>
                  </w:tcBorders>
                  <w:vAlign w:val="center"/>
                </w:tcPr>
                <w:p w14:paraId="13F63B34" w14:textId="77777777" w:rsidR="00F1032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18FD72B8" w14:textId="11878E89" w:rsidR="00F10328" w:rsidRPr="00D80C7D" w:rsidRDefault="00D80C7D" w:rsidP="00D80C7D">
            <w:pPr>
              <w:spacing w:line="360" w:lineRule="auto"/>
              <w:jc w:val="right"/>
              <w:rPr>
                <w:rFonts w:ascii="Times New Roman" w:eastAsia="Times New Roman" w:hAnsi="Times New Roman" w:cs="Times New Roman"/>
                <w:i/>
                <w:iCs/>
                <w:sz w:val="28"/>
                <w:szCs w:val="28"/>
                <w:lang w:val="en-SG"/>
              </w:rPr>
            </w:pPr>
            <w:r w:rsidRPr="00D80C7D">
              <w:rPr>
                <w:rFonts w:ascii="Times New Roman" w:eastAsia="Times New Roman" w:hAnsi="Times New Roman" w:cs="Times New Roman"/>
                <w:i/>
                <w:iCs/>
                <w:sz w:val="28"/>
                <w:szCs w:val="28"/>
                <w:lang w:val="en-SG"/>
              </w:rPr>
              <w:t>………….,ngày…….tháng…..năm…..</w:t>
            </w:r>
          </w:p>
          <w:p w14:paraId="2634AD77" w14:textId="21D11268" w:rsidR="00D80C7D" w:rsidRPr="00D80C7D" w:rsidRDefault="00D80C7D" w:rsidP="00D80C7D">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D80C7D">
              <w:rPr>
                <w:rFonts w:ascii="Times New Roman" w:eastAsia="Times New Roman" w:hAnsi="Times New Roman" w:cs="Times New Roman"/>
                <w:b/>
                <w:bCs/>
                <w:sz w:val="28"/>
                <w:szCs w:val="28"/>
                <w:lang w:val="en-SG"/>
              </w:rPr>
              <w:t>THỦ TRƯỞNG ĐƠN VỊ</w:t>
            </w:r>
          </w:p>
          <w:p w14:paraId="56E125E0" w14:textId="35CF0847" w:rsidR="00D80C7D" w:rsidRPr="00D80C7D" w:rsidRDefault="00D80C7D" w:rsidP="00D80C7D">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lastRenderedPageBreak/>
              <w:t xml:space="preserve">                                                                                 </w:t>
            </w:r>
            <w:r w:rsidRPr="00D80C7D">
              <w:rPr>
                <w:rFonts w:ascii="Times New Roman" w:eastAsia="Times New Roman" w:hAnsi="Times New Roman" w:cs="Times New Roman"/>
                <w:i/>
                <w:iCs/>
                <w:sz w:val="28"/>
                <w:szCs w:val="28"/>
                <w:lang w:val="en-SG"/>
              </w:rPr>
              <w:t xml:space="preserve">(Ký, ghi rõ họ tên, đóng dấu) </w:t>
            </w:r>
            <w:bookmarkEnd w:id="1"/>
          </w:p>
        </w:tc>
      </w:tr>
    </w:tbl>
    <w:p w14:paraId="6BC7FAAC" w14:textId="77777777" w:rsidR="00F10328"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Bạn tải mẫu phiếu dự toán đề nghị cấp kinh phí hỗ trợ tiền ăn, tiền ở và hỗ trợ gạo cho học sinh bán trú, học viên bán trú mới nhất năm 2025</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color w:val="4A86E8"/>
          <w:sz w:val="28"/>
          <w:szCs w:val="28"/>
        </w:rPr>
        <w:t>TẠI ĐÂY.</w:t>
      </w:r>
    </w:p>
    <w:p w14:paraId="71E8892C" w14:textId="134FE10C" w:rsidR="00F10328"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D80C7D">
        <w:rPr>
          <w:rFonts w:ascii="Times New Roman" w:eastAsia="Times New Roman" w:hAnsi="Times New Roman" w:cs="Times New Roman"/>
          <w:b/>
          <w:color w:val="000000"/>
          <w:sz w:val="28"/>
          <w:szCs w:val="28"/>
          <w:lang w:val="en-SG"/>
        </w:rPr>
        <w:t xml:space="preserve">Học sinh bán trú được hỗ trợ tiền ăn là bao nhiêu trong năm học? </w:t>
      </w:r>
    </w:p>
    <w:p w14:paraId="79D881E4" w14:textId="77777777" w:rsidR="00D80C7D" w:rsidRPr="00D80C7D" w:rsidRDefault="00D80C7D" w:rsidP="00D80C7D">
      <w:pPr>
        <w:spacing w:after="0" w:line="360" w:lineRule="auto"/>
        <w:jc w:val="both"/>
        <w:rPr>
          <w:rFonts w:ascii="Times New Roman" w:eastAsia="Times New Roman" w:hAnsi="Times New Roman" w:cs="Times New Roman"/>
          <w:bCs/>
          <w:color w:val="000000" w:themeColor="text1"/>
          <w:sz w:val="28"/>
          <w:szCs w:val="28"/>
          <w:lang w:val="en-SG"/>
        </w:rPr>
      </w:pPr>
      <w:r w:rsidRPr="00D80C7D">
        <w:rPr>
          <w:rFonts w:ascii="Times New Roman" w:eastAsia="Times New Roman" w:hAnsi="Times New Roman" w:cs="Times New Roman"/>
          <w:bCs/>
          <w:color w:val="000000" w:themeColor="text1"/>
          <w:sz w:val="28"/>
          <w:szCs w:val="28"/>
          <w:lang w:val="en-SG"/>
        </w:rPr>
        <w:t>Căn cứ theo điểm a khoản 2 Điều 6 </w:t>
      </w:r>
      <w:hyperlink r:id="rId7" w:tgtFrame="_blank" w:history="1">
        <w:r w:rsidRPr="00D80C7D">
          <w:rPr>
            <w:rStyle w:val="Hyperlink"/>
            <w:rFonts w:ascii="Times New Roman" w:eastAsia="Times New Roman" w:hAnsi="Times New Roman" w:cs="Times New Roman"/>
            <w:bCs/>
            <w:color w:val="000000" w:themeColor="text1"/>
            <w:sz w:val="28"/>
            <w:szCs w:val="28"/>
            <w:u w:val="none"/>
            <w:lang w:val="en-SG"/>
          </w:rPr>
          <w:t>Nghị định 66/2025/NĐ-CP</w:t>
        </w:r>
      </w:hyperlink>
      <w:r w:rsidRPr="00D80C7D">
        <w:rPr>
          <w:rFonts w:ascii="Times New Roman" w:eastAsia="Times New Roman" w:hAnsi="Times New Roman" w:cs="Times New Roman"/>
          <w:bCs/>
          <w:color w:val="000000" w:themeColor="text1"/>
          <w:sz w:val="28"/>
          <w:szCs w:val="28"/>
          <w:lang w:val="en-SG"/>
        </w:rPr>
        <w:t> có quy định như sau:</w:t>
      </w:r>
    </w:p>
    <w:p w14:paraId="01FC10A7" w14:textId="77777777" w:rsidR="00D80C7D" w:rsidRPr="00D80C7D" w:rsidRDefault="00D80C7D" w:rsidP="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
          <w:bCs/>
          <w:i/>
          <w:iCs/>
          <w:color w:val="000000"/>
          <w:sz w:val="28"/>
          <w:szCs w:val="28"/>
          <w:lang w:val="en-SG"/>
        </w:rPr>
        <w:t>Mức hưởng chính sách đối với trẻ em nhà trẻ bán trú, học sinh bán trú, học viên bán trú, học sinh dân tộc nội trú và học sinh dự bị đại học</w:t>
      </w:r>
    </w:p>
    <w:p w14:paraId="3E177DDB" w14:textId="77777777" w:rsidR="00D80C7D" w:rsidRPr="00D80C7D" w:rsidRDefault="00D80C7D" w:rsidP="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Cs/>
          <w:i/>
          <w:iCs/>
          <w:color w:val="000000"/>
          <w:sz w:val="28"/>
          <w:szCs w:val="28"/>
          <w:lang w:val="en-SG"/>
        </w:rPr>
        <w:t>1. Chính sách đối với trẻ em nhà trẻ bán trú</w:t>
      </w:r>
    </w:p>
    <w:p w14:paraId="26441454" w14:textId="77777777" w:rsidR="00D80C7D" w:rsidRPr="00D80C7D" w:rsidRDefault="00D80C7D" w:rsidP="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Cs/>
          <w:i/>
          <w:iCs/>
          <w:color w:val="000000"/>
          <w:sz w:val="28"/>
          <w:szCs w:val="28"/>
          <w:lang w:val="en-SG"/>
        </w:rPr>
        <w:t>Hỗ trợ tiền ăn trưa: Mỗi trẻ em nhà trẻ được hỗ trợ mỗi tháng là 360.000 đồng và được hưởng không quá 9 tháng/năm học.</w:t>
      </w:r>
    </w:p>
    <w:p w14:paraId="1CCC95DC" w14:textId="77777777" w:rsidR="00D80C7D" w:rsidRPr="00D80C7D" w:rsidRDefault="00D80C7D" w:rsidP="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Cs/>
          <w:i/>
          <w:iCs/>
          <w:color w:val="000000"/>
          <w:sz w:val="28"/>
          <w:szCs w:val="28"/>
          <w:lang w:val="en-SG"/>
        </w:rPr>
        <w:t>2. Chính sách đối với học sinh bán trú và học viên bán trú</w:t>
      </w:r>
    </w:p>
    <w:p w14:paraId="6F9DED5D" w14:textId="77777777" w:rsidR="00D80C7D" w:rsidRPr="00D80C7D" w:rsidRDefault="00D80C7D" w:rsidP="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Cs/>
          <w:i/>
          <w:iCs/>
          <w:color w:val="000000"/>
          <w:sz w:val="28"/>
          <w:szCs w:val="28"/>
          <w:lang w:val="en-SG"/>
        </w:rPr>
        <w:t>a) Hỗ trợ tiền ăn: Mỗi học sinh, học viên được hỗ trợ mỗi tháng là 936.000 đồng và được hưởng không quá 9 tháng/năm học;</w:t>
      </w:r>
    </w:p>
    <w:p w14:paraId="18A7FDD3" w14:textId="77777777" w:rsidR="00D80C7D" w:rsidRPr="00D80C7D" w:rsidRDefault="00D80C7D" w:rsidP="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Cs/>
          <w:i/>
          <w:iCs/>
          <w:color w:val="000000"/>
          <w:sz w:val="28"/>
          <w:szCs w:val="28"/>
          <w:lang w:val="en-SG"/>
        </w:rPr>
        <w:t>b) Hỗ trợ tiền nhà ở: Mỗi học sinh bán trú, học viên bán trú phải tự túc chỗ ở do nhà trường không thể bố trí chỗ ở trong trường hoặc học sinh lớp 1, lớp 2, học sinh khuyết tật có nhu cầu tự túc chỗ ở gần trường để người thân chăm sóc thì mỗi tháng được hỗ trợ 360.000 đồng và được hưởng không quá 9 tháng/năm học;</w:t>
      </w:r>
    </w:p>
    <w:p w14:paraId="7FC156FF" w14:textId="77777777" w:rsidR="00D80C7D" w:rsidRPr="00D80C7D" w:rsidRDefault="00D80C7D" w:rsidP="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Cs/>
          <w:i/>
          <w:iCs/>
          <w:color w:val="000000"/>
          <w:sz w:val="28"/>
          <w:szCs w:val="28"/>
          <w:lang w:val="en-SG"/>
        </w:rPr>
        <w:t>c) Hỗ trợ gạo: Mỗi học sinh, học viên được hỗ trợ mỗi tháng 15 kg gạo và được hưởng không quá 9 tháng/năm học;</w:t>
      </w:r>
    </w:p>
    <w:p w14:paraId="3733828D" w14:textId="77777777" w:rsidR="00D80C7D" w:rsidRPr="00D80C7D" w:rsidRDefault="00D80C7D" w:rsidP="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Cs/>
          <w:i/>
          <w:iCs/>
          <w:color w:val="000000"/>
          <w:sz w:val="28"/>
          <w:szCs w:val="28"/>
          <w:lang w:val="en-SG"/>
        </w:rPr>
        <w:t>d) Học sinh bán trú lớp 1 là người dân tộc thiểu số có học tiếng Việt trước khi vào học chương trình lớp 1 thì được hưởng thêm 01 tháng các chính sách quy định tại các điểm a, b, c khoản 2 Điều này.</w:t>
      </w:r>
    </w:p>
    <w:p w14:paraId="4E243643" w14:textId="77777777" w:rsidR="00D80C7D" w:rsidRPr="00D80C7D" w:rsidRDefault="00D80C7D" w:rsidP="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Cs/>
          <w:i/>
          <w:iCs/>
          <w:color w:val="000000"/>
          <w:sz w:val="28"/>
          <w:szCs w:val="28"/>
          <w:lang w:val="en-SG"/>
        </w:rPr>
        <w:t>...</w:t>
      </w:r>
    </w:p>
    <w:p w14:paraId="5E42766A" w14:textId="77777777" w:rsidR="00D80C7D" w:rsidRPr="00D80C7D" w:rsidRDefault="00D80C7D" w:rsidP="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Cs/>
          <w:color w:val="000000"/>
          <w:sz w:val="28"/>
          <w:szCs w:val="28"/>
          <w:lang w:val="en-SG"/>
        </w:rPr>
        <w:t>Như vậy, chính sách hỗ trợ tiền ăn đối với học sinh bán trú và học viên bán trú, cụ thể: Mỗi học sinh, học viên được hỗ trợ mỗi tháng là </w:t>
      </w:r>
      <w:r w:rsidRPr="00D80C7D">
        <w:rPr>
          <w:rFonts w:ascii="Times New Roman" w:eastAsia="Times New Roman" w:hAnsi="Times New Roman" w:cs="Times New Roman"/>
          <w:b/>
          <w:bCs/>
          <w:color w:val="000000"/>
          <w:sz w:val="28"/>
          <w:szCs w:val="28"/>
          <w:lang w:val="en-SG"/>
        </w:rPr>
        <w:t>936.000 đồng</w:t>
      </w:r>
      <w:r w:rsidRPr="00D80C7D">
        <w:rPr>
          <w:rFonts w:ascii="Times New Roman" w:eastAsia="Times New Roman" w:hAnsi="Times New Roman" w:cs="Times New Roman"/>
          <w:bCs/>
          <w:color w:val="000000"/>
          <w:sz w:val="28"/>
          <w:szCs w:val="28"/>
          <w:lang w:val="en-SG"/>
        </w:rPr>
        <w:t> và </w:t>
      </w:r>
      <w:r w:rsidRPr="00D80C7D">
        <w:rPr>
          <w:rFonts w:ascii="Times New Roman" w:eastAsia="Times New Roman" w:hAnsi="Times New Roman" w:cs="Times New Roman"/>
          <w:b/>
          <w:bCs/>
          <w:color w:val="000000"/>
          <w:sz w:val="28"/>
          <w:szCs w:val="28"/>
          <w:lang w:val="en-SG"/>
        </w:rPr>
        <w:t>được hưởng không quá 9 tháng/năm</w:t>
      </w:r>
      <w:r w:rsidRPr="00D80C7D">
        <w:rPr>
          <w:rFonts w:ascii="Times New Roman" w:eastAsia="Times New Roman" w:hAnsi="Times New Roman" w:cs="Times New Roman"/>
          <w:bCs/>
          <w:color w:val="000000"/>
          <w:sz w:val="28"/>
          <w:szCs w:val="28"/>
          <w:lang w:val="en-SG"/>
        </w:rPr>
        <w:t> học.</w:t>
      </w:r>
    </w:p>
    <w:p w14:paraId="1A8C937B" w14:textId="51FE1307" w:rsidR="00D80C7D" w:rsidRPr="00D80C7D" w:rsidRDefault="00D80C7D">
      <w:pPr>
        <w:spacing w:after="0" w:line="360" w:lineRule="auto"/>
        <w:jc w:val="both"/>
        <w:rPr>
          <w:rFonts w:ascii="Times New Roman" w:eastAsia="Times New Roman" w:hAnsi="Times New Roman" w:cs="Times New Roman"/>
          <w:bCs/>
          <w:color w:val="000000"/>
          <w:sz w:val="28"/>
          <w:szCs w:val="28"/>
          <w:lang w:val="en-SG"/>
        </w:rPr>
      </w:pPr>
      <w:r w:rsidRPr="00D80C7D">
        <w:rPr>
          <w:rFonts w:ascii="Times New Roman" w:eastAsia="Times New Roman" w:hAnsi="Times New Roman" w:cs="Times New Roman"/>
          <w:b/>
          <w:bCs/>
          <w:color w:val="000000"/>
          <w:sz w:val="28"/>
          <w:szCs w:val="28"/>
          <w:lang w:val="en-SG"/>
        </w:rPr>
        <w:lastRenderedPageBreak/>
        <w:t>Lưu ý: </w:t>
      </w:r>
      <w:r w:rsidRPr="00D80C7D">
        <w:rPr>
          <w:rFonts w:ascii="Times New Roman" w:eastAsia="Times New Roman" w:hAnsi="Times New Roman" w:cs="Times New Roman"/>
          <w:bCs/>
          <w:color w:val="000000"/>
          <w:sz w:val="28"/>
          <w:szCs w:val="28"/>
          <w:lang w:val="en-SG"/>
        </w:rPr>
        <w:t>Đối với học sinh bán trú lớp 1 là người dân tộc thiểu số có học tiếng Việt trước khi vào học chương trình lớp 1 thì được hưởng thêm 01 tháng các chính sách hỗ trợ tiền ăn theo quy định.</w:t>
      </w:r>
    </w:p>
    <w:p w14:paraId="4065555B" w14:textId="21B8CFCD" w:rsidR="00F10328"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highlight w:val="white"/>
        </w:rPr>
        <w:t xml:space="preserve">Trên đây là mẫu </w:t>
      </w:r>
      <w:r>
        <w:rPr>
          <w:rFonts w:ascii="Times New Roman" w:eastAsia="Times New Roman" w:hAnsi="Times New Roman" w:cs="Times New Roman"/>
          <w:i/>
          <w:sz w:val="28"/>
          <w:szCs w:val="28"/>
        </w:rPr>
        <w:t>phiếu dự toán đề nghị cấp kinh phí hỗ trợ tiền ăn, tiền ở và hỗ trợ gạo cho học sinh bán trú, học viên bán trú mới nhất năm 2025</w:t>
      </w:r>
      <w:r>
        <w:rPr>
          <w:rFonts w:ascii="Times New Roman" w:eastAsia="Times New Roman" w:hAnsi="Times New Roman" w:cs="Times New Roman"/>
          <w:i/>
          <w:sz w:val="28"/>
          <w:szCs w:val="28"/>
          <w:highlight w:val="white"/>
        </w:rPr>
        <w:t>. Mong rằng những chia sẻ này sẽ hữu ích cho bạn trong công việc. Hãy theo dõi Viet</w:t>
      </w:r>
      <w:r w:rsidR="00D80C7D">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ack để không bỏ lỡ các cập nhật quan trọng về giáo dục và các mẫu văn bản hữu ích khác trong tương lai</w:t>
      </w:r>
    </w:p>
    <w:p w14:paraId="0A885822" w14:textId="77777777" w:rsidR="00F10328" w:rsidRDefault="00F10328">
      <w:pPr>
        <w:spacing w:after="0" w:line="360" w:lineRule="auto"/>
        <w:jc w:val="both"/>
        <w:rPr>
          <w:rFonts w:ascii="Times New Roman" w:eastAsia="Times New Roman" w:hAnsi="Times New Roman" w:cs="Times New Roman"/>
          <w:sz w:val="28"/>
          <w:szCs w:val="28"/>
        </w:rPr>
      </w:pPr>
    </w:p>
    <w:p w14:paraId="2BA9BC30" w14:textId="77777777" w:rsidR="00F10328" w:rsidRDefault="00F10328">
      <w:pPr>
        <w:spacing w:line="360" w:lineRule="auto"/>
        <w:jc w:val="both"/>
        <w:rPr>
          <w:rFonts w:ascii="Times New Roman" w:eastAsia="Times New Roman" w:hAnsi="Times New Roman" w:cs="Times New Roman"/>
          <w:sz w:val="28"/>
          <w:szCs w:val="28"/>
        </w:rPr>
      </w:pPr>
    </w:p>
    <w:sectPr w:rsidR="00F10328" w:rsidSect="00D80C7D">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3C1670-FA84-4128-8D2A-7475508F9FA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1A9149F-1E9C-413A-9DF3-32D1804C4411}"/>
    <w:embedItalic r:id="rId3" w:fontKey="{C2E88482-B2B0-432E-9181-EEDF938C799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3B59A40-40A9-43B7-8FDF-2E98094D6A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16206B"/>
    <w:multiLevelType w:val="multilevel"/>
    <w:tmpl w:val="D6F8A710"/>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num w:numId="1" w16cid:durableId="531039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328"/>
    <w:rsid w:val="001172AA"/>
    <w:rsid w:val="00241704"/>
    <w:rsid w:val="00D80C7D"/>
    <w:rsid w:val="00F10328"/>
    <w:rsid w:val="00FD02D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2D833"/>
  <w15:docId w15:val="{F216874D-B6EF-46DD-96E2-B233F2CE4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D25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25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25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D25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D25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D25E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D25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25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25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25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25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25EE"/>
    <w:rPr>
      <w:rFonts w:eastAsiaTheme="majorEastAsia" w:cstheme="majorBidi"/>
      <w:color w:val="272727" w:themeColor="text1" w:themeTint="D8"/>
    </w:rPr>
  </w:style>
  <w:style w:type="character" w:customStyle="1" w:styleId="TitleChar">
    <w:name w:val="Title Char"/>
    <w:basedOn w:val="DefaultParagraphFont"/>
    <w:link w:val="Title"/>
    <w:uiPriority w:val="10"/>
    <w:rsid w:val="00AD25E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D25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25EE"/>
    <w:pPr>
      <w:spacing w:before="160"/>
      <w:jc w:val="center"/>
    </w:pPr>
    <w:rPr>
      <w:i/>
      <w:iCs/>
      <w:color w:val="404040" w:themeColor="text1" w:themeTint="BF"/>
    </w:rPr>
  </w:style>
  <w:style w:type="character" w:customStyle="1" w:styleId="QuoteChar">
    <w:name w:val="Quote Char"/>
    <w:basedOn w:val="DefaultParagraphFont"/>
    <w:link w:val="Quote"/>
    <w:uiPriority w:val="29"/>
    <w:rsid w:val="00AD25EE"/>
    <w:rPr>
      <w:i/>
      <w:iCs/>
      <w:color w:val="404040" w:themeColor="text1" w:themeTint="BF"/>
    </w:rPr>
  </w:style>
  <w:style w:type="paragraph" w:styleId="ListParagraph">
    <w:name w:val="List Paragraph"/>
    <w:basedOn w:val="Normal"/>
    <w:uiPriority w:val="34"/>
    <w:qFormat/>
    <w:rsid w:val="00AD25EE"/>
    <w:pPr>
      <w:ind w:left="720"/>
      <w:contextualSpacing/>
    </w:pPr>
  </w:style>
  <w:style w:type="character" w:styleId="IntenseEmphasis">
    <w:name w:val="Intense Emphasis"/>
    <w:basedOn w:val="DefaultParagraphFont"/>
    <w:uiPriority w:val="21"/>
    <w:qFormat/>
    <w:rsid w:val="00AD25EE"/>
    <w:rPr>
      <w:i/>
      <w:iCs/>
      <w:color w:val="2F5496" w:themeColor="accent1" w:themeShade="BF"/>
    </w:rPr>
  </w:style>
  <w:style w:type="paragraph" w:styleId="IntenseQuote">
    <w:name w:val="Intense Quote"/>
    <w:basedOn w:val="Normal"/>
    <w:next w:val="Normal"/>
    <w:link w:val="IntenseQuoteChar"/>
    <w:uiPriority w:val="30"/>
    <w:qFormat/>
    <w:rsid w:val="00AD25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25EE"/>
    <w:rPr>
      <w:i/>
      <w:iCs/>
      <w:color w:val="2F5496" w:themeColor="accent1" w:themeShade="BF"/>
    </w:rPr>
  </w:style>
  <w:style w:type="character" w:styleId="IntenseReference">
    <w:name w:val="Intense Reference"/>
    <w:basedOn w:val="DefaultParagraphFont"/>
    <w:uiPriority w:val="32"/>
    <w:qFormat/>
    <w:rsid w:val="00AD25EE"/>
    <w:rPr>
      <w:b/>
      <w:bCs/>
      <w:smallCaps/>
      <w:color w:val="2F5496" w:themeColor="accent1" w:themeShade="BF"/>
      <w:spacing w:val="5"/>
    </w:rPr>
  </w:style>
  <w:style w:type="character" w:styleId="Strong">
    <w:name w:val="Strong"/>
    <w:basedOn w:val="DefaultParagraphFont"/>
    <w:uiPriority w:val="22"/>
    <w:qFormat/>
    <w:rsid w:val="00AD25EE"/>
    <w:rPr>
      <w:b/>
      <w:bCs/>
    </w:rPr>
  </w:style>
  <w:style w:type="paragraph" w:styleId="NormalWeb">
    <w:name w:val="Normal (Web)"/>
    <w:basedOn w:val="Normal"/>
    <w:uiPriority w:val="99"/>
    <w:semiHidden/>
    <w:unhideWhenUsed/>
    <w:rsid w:val="00AD25EE"/>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AD25EE"/>
  </w:style>
  <w:style w:type="table" w:styleId="TableGrid">
    <w:name w:val="Table Grid"/>
    <w:basedOn w:val="TableNormal"/>
    <w:uiPriority w:val="39"/>
    <w:rsid w:val="00AD2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D80C7D"/>
    <w:rPr>
      <w:color w:val="0563C1" w:themeColor="hyperlink"/>
      <w:u w:val="single"/>
    </w:rPr>
  </w:style>
  <w:style w:type="character" w:styleId="UnresolvedMention">
    <w:name w:val="Unresolved Mention"/>
    <w:basedOn w:val="DefaultParagraphFont"/>
    <w:uiPriority w:val="99"/>
    <w:semiHidden/>
    <w:unhideWhenUsed/>
    <w:rsid w:val="00D80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huvienphapluat.vn/van-ban/Giao-duc/Nghi-dinh-66-2025-ND-CP-chinh-sach-cho-tre-em-nha-tre-vung-dong-bao-dan-toc-thieu-so-647451.aspx?anchor=dieu_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QKWuX2XMTahXpvizmqL1PUoRFw==">CgMxLjA4AHIhMVRKa09oZjEwQ0k3VDhtb3RZRTdxYUhQX2t1UjBwMEpL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661</Words>
  <Characters>3772</Characters>
  <Application>Microsoft Office Word</Application>
  <DocSecurity>0</DocSecurity>
  <Lines>31</Lines>
  <Paragraphs>8</Paragraphs>
  <ScaleCrop>false</ScaleCrop>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Ngọc a</dc:creator>
  <cp:lastModifiedBy>Nguyen Phuong Anh</cp:lastModifiedBy>
  <cp:revision>4</cp:revision>
  <dcterms:created xsi:type="dcterms:W3CDTF">2025-11-07T03:36:00Z</dcterms:created>
  <dcterms:modified xsi:type="dcterms:W3CDTF">2025-11-07T03:41:00Z</dcterms:modified>
</cp:coreProperties>
</file>