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635" w:rsidRPr="00C66635" w:rsidRDefault="00C66635" w:rsidP="00C66635">
      <w:pPr>
        <w:shd w:val="clear" w:color="auto" w:fill="FFFFFF"/>
        <w:spacing w:after="0" w:line="570" w:lineRule="atLeast"/>
        <w:outlineLvl w:val="0"/>
        <w:rPr>
          <w:rFonts w:ascii="Times New Roman" w:eastAsia="Times New Roman" w:hAnsi="Times New Roman" w:cs="Times New Roman"/>
          <w:b/>
          <w:bCs/>
          <w:color w:val="ED1C24"/>
          <w:kern w:val="36"/>
          <w:sz w:val="28"/>
          <w:szCs w:val="28"/>
        </w:rPr>
      </w:pPr>
      <w:r w:rsidRPr="00C66635">
        <w:rPr>
          <w:rFonts w:ascii="Times New Roman" w:eastAsia="Times New Roman" w:hAnsi="Times New Roman" w:cs="Times New Roman"/>
          <w:b/>
          <w:bCs/>
          <w:color w:val="ED1C24"/>
          <w:kern w:val="36"/>
          <w:sz w:val="28"/>
          <w:szCs w:val="28"/>
        </w:rPr>
        <w:t>Quy định phân loại và cấp công trình xây dựng</w:t>
      </w:r>
    </w:p>
    <w:p w:rsidR="00C66635" w:rsidRPr="00C66635" w:rsidRDefault="00C66635" w:rsidP="00C66635">
      <w:pPr>
        <w:pStyle w:val="Heading2"/>
        <w:shd w:val="clear" w:color="auto" w:fill="FFFFFF"/>
        <w:spacing w:before="0"/>
        <w:jc w:val="center"/>
        <w:rPr>
          <w:rFonts w:ascii="Times New Roman" w:hAnsi="Times New Roman" w:cs="Times New Roman"/>
          <w:color w:val="003399"/>
          <w:sz w:val="28"/>
          <w:szCs w:val="28"/>
        </w:rPr>
      </w:pPr>
      <w:r w:rsidRPr="00C66635">
        <w:rPr>
          <w:rFonts w:ascii="Times New Roman" w:hAnsi="Times New Roman" w:cs="Times New Roman"/>
          <w:color w:val="003399"/>
          <w:sz w:val="28"/>
          <w:szCs w:val="28"/>
        </w:rPr>
        <w:t>Phân loại và phân cấp công trình xây dựng</w:t>
      </w:r>
    </w:p>
    <w:p w:rsidR="00C66635" w:rsidRPr="00C66635" w:rsidRDefault="00C66635" w:rsidP="00C66635">
      <w:pPr>
        <w:pStyle w:val="NormalWeb"/>
        <w:shd w:val="clear" w:color="auto" w:fill="FFFFFF"/>
        <w:spacing w:before="0" w:beforeAutospacing="0" w:after="0" w:afterAutospacing="0"/>
        <w:jc w:val="both"/>
        <w:rPr>
          <w:sz w:val="28"/>
          <w:szCs w:val="28"/>
        </w:rPr>
      </w:pPr>
      <w:r w:rsidRPr="00C66635">
        <w:rPr>
          <w:rStyle w:val="Strong"/>
          <w:sz w:val="28"/>
          <w:szCs w:val="28"/>
          <w:bdr w:val="none" w:sz="0" w:space="0" w:color="auto" w:frame="1"/>
        </w:rPr>
        <w:t>Công trình, hạng mục công trình được phân cấp căn cứ dựa trên quy mô, loại kết cấu, tầm quan trọng để áp dụng trong quản lý các hoạt động đầu tư xây dựng. Phân cấp công trình được quy định như thế nào? Tác dụng của phân loại</w:t>
      </w:r>
      <w:r>
        <w:rPr>
          <w:rStyle w:val="Strong"/>
          <w:sz w:val="28"/>
          <w:szCs w:val="28"/>
          <w:bdr w:val="none" w:sz="0" w:space="0" w:color="auto" w:frame="1"/>
        </w:rPr>
        <w:t>, phân cấp công trình là gì? Vietjack</w:t>
      </w:r>
      <w:r w:rsidRPr="00C66635">
        <w:rPr>
          <w:rStyle w:val="Strong"/>
          <w:sz w:val="28"/>
          <w:szCs w:val="28"/>
          <w:bdr w:val="none" w:sz="0" w:space="0" w:color="auto" w:frame="1"/>
        </w:rPr>
        <w:t>.com sẽ giải đáp cho các bạn thông qua bài viết sau đây.</w:t>
      </w:r>
      <w:bookmarkStart w:id="0" w:name="_GoBack"/>
      <w:bookmarkEnd w:id="0"/>
    </w:p>
    <w:p w:rsidR="00C66635" w:rsidRPr="00C66635" w:rsidRDefault="00C66635" w:rsidP="00C66635">
      <w:pPr>
        <w:pStyle w:val="NormalWeb"/>
        <w:shd w:val="clear" w:color="auto" w:fill="FFFFFF"/>
        <w:spacing w:before="0" w:beforeAutospacing="0" w:after="0" w:afterAutospacing="0"/>
        <w:jc w:val="both"/>
        <w:rPr>
          <w:sz w:val="28"/>
          <w:szCs w:val="28"/>
        </w:rPr>
      </w:pPr>
      <w:r w:rsidRPr="00C66635">
        <w:rPr>
          <w:sz w:val="28"/>
          <w:szCs w:val="28"/>
        </w:rPr>
        <w:t>Phân loại và cấp công trình xây dựng được quy định tại Điều 5</w:t>
      </w:r>
      <w:hyperlink r:id="rId4" w:tgtFrame="_blank" w:history="1">
        <w:r w:rsidRPr="00C66635">
          <w:rPr>
            <w:rStyle w:val="Hyperlink"/>
            <w:color w:val="003399"/>
            <w:sz w:val="28"/>
            <w:szCs w:val="28"/>
            <w:bdr w:val="none" w:sz="0" w:space="0" w:color="auto" w:frame="1"/>
          </w:rPr>
          <w:t> Luật xây dựng 2014</w:t>
        </w:r>
      </w:hyperlink>
      <w:r w:rsidRPr="00C66635">
        <w:rPr>
          <w:sz w:val="28"/>
          <w:szCs w:val="28"/>
        </w:rPr>
        <w:t> như sau:</w:t>
      </w:r>
    </w:p>
    <w:p w:rsidR="00C66635" w:rsidRPr="00C66635" w:rsidRDefault="00C66635" w:rsidP="00C66635">
      <w:pPr>
        <w:pStyle w:val="NormalWeb"/>
        <w:shd w:val="clear" w:color="auto" w:fill="FFFFFF"/>
        <w:spacing w:before="0" w:beforeAutospacing="0" w:after="0" w:afterAutospacing="0"/>
        <w:jc w:val="both"/>
        <w:rPr>
          <w:sz w:val="28"/>
          <w:szCs w:val="28"/>
        </w:rPr>
      </w:pPr>
      <w:r w:rsidRPr="00C66635">
        <w:rPr>
          <w:sz w:val="28"/>
          <w:szCs w:val="28"/>
        </w:rPr>
        <w:t>- Công trình xây dựng được phân theo loại và cấp công trình.</w:t>
      </w:r>
    </w:p>
    <w:p w:rsidR="00C66635" w:rsidRPr="00C66635" w:rsidRDefault="00C66635" w:rsidP="00C66635">
      <w:pPr>
        <w:pStyle w:val="NormalWeb"/>
        <w:shd w:val="clear" w:color="auto" w:fill="FFFFFF"/>
        <w:spacing w:before="0" w:beforeAutospacing="0" w:after="0" w:afterAutospacing="0"/>
        <w:jc w:val="both"/>
        <w:rPr>
          <w:sz w:val="28"/>
          <w:szCs w:val="28"/>
        </w:rPr>
      </w:pPr>
      <w:r w:rsidRPr="00C66635">
        <w:rPr>
          <w:sz w:val="28"/>
          <w:szCs w:val="28"/>
        </w:rPr>
        <w:t>- Loại công trình được xác định theo công năng sử dụng gồm công trình dân dụng, công trình công nghiệp, công trình giao thông, công trình nông nghiệp và phát triển nông thôn, công trình hạ tầng kỹ thuật và công trình quốc phòng, an ninh.</w:t>
      </w:r>
    </w:p>
    <w:p w:rsidR="00C66635" w:rsidRPr="00C66635" w:rsidRDefault="00C66635" w:rsidP="00C66635">
      <w:pPr>
        <w:pStyle w:val="NormalWeb"/>
        <w:shd w:val="clear" w:color="auto" w:fill="FFFFFF"/>
        <w:spacing w:before="0" w:beforeAutospacing="0" w:after="0" w:afterAutospacing="0"/>
        <w:jc w:val="both"/>
        <w:rPr>
          <w:sz w:val="28"/>
          <w:szCs w:val="28"/>
        </w:rPr>
      </w:pPr>
      <w:r w:rsidRPr="00C66635">
        <w:rPr>
          <w:sz w:val="28"/>
          <w:szCs w:val="28"/>
        </w:rPr>
        <w:t>- Cấp công trình được xác định theo từng loại công trình căn cứ vào quy mô, mục đích, tầm quan trọng, thời hạn sử dụng, vật liệu sử dụng và yêu cầu kỹ thuật xây dựng công trình.</w:t>
      </w:r>
    </w:p>
    <w:p w:rsidR="00C66635" w:rsidRPr="00C66635" w:rsidRDefault="00C66635" w:rsidP="00C66635">
      <w:pPr>
        <w:pStyle w:val="NormalWeb"/>
        <w:shd w:val="clear" w:color="auto" w:fill="FFFFFF"/>
        <w:spacing w:before="0" w:beforeAutospacing="0" w:after="0" w:afterAutospacing="0"/>
        <w:jc w:val="both"/>
        <w:rPr>
          <w:sz w:val="28"/>
          <w:szCs w:val="28"/>
        </w:rPr>
      </w:pPr>
      <w:r w:rsidRPr="00C66635">
        <w:rPr>
          <w:sz w:val="28"/>
          <w:szCs w:val="28"/>
        </w:rPr>
        <w:t>Cấp công trình gồm cấp đặc biệt, cấp I, cấp II, cấp III, cấp IV và các cấp khác theo quy định của Chính phủ.</w:t>
      </w:r>
    </w:p>
    <w:p w:rsidR="00C66635" w:rsidRPr="00C66635" w:rsidRDefault="00C66635" w:rsidP="00C66635">
      <w:pPr>
        <w:pStyle w:val="NormalWeb"/>
        <w:shd w:val="clear" w:color="auto" w:fill="FFFFFF"/>
        <w:spacing w:before="0" w:beforeAutospacing="0" w:after="0" w:afterAutospacing="0"/>
        <w:jc w:val="both"/>
        <w:rPr>
          <w:sz w:val="28"/>
          <w:szCs w:val="28"/>
        </w:rPr>
      </w:pPr>
      <w:r w:rsidRPr="00C66635">
        <w:rPr>
          <w:sz w:val="28"/>
          <w:szCs w:val="28"/>
        </w:rPr>
        <w:t>Điều 8 </w:t>
      </w:r>
      <w:hyperlink r:id="rId5" w:tgtFrame="_blank" w:history="1">
        <w:r w:rsidRPr="00C66635">
          <w:rPr>
            <w:rStyle w:val="Hyperlink"/>
            <w:color w:val="003399"/>
            <w:sz w:val="28"/>
            <w:szCs w:val="28"/>
            <w:bdr w:val="none" w:sz="0" w:space="0" w:color="auto" w:frame="1"/>
          </w:rPr>
          <w:t>Nghị định 46/2015/NĐ-CP</w:t>
        </w:r>
      </w:hyperlink>
      <w:r w:rsidRPr="00C66635">
        <w:rPr>
          <w:sz w:val="28"/>
          <w:szCs w:val="28"/>
        </w:rPr>
        <w:t> về quản lý chất lượng và bảo trì công trình xây dựng hướng dẫn quy định trên như sau:</w:t>
      </w:r>
    </w:p>
    <w:p w:rsidR="00C66635" w:rsidRPr="00C66635" w:rsidRDefault="00C66635" w:rsidP="00C66635">
      <w:pPr>
        <w:pStyle w:val="NormalWeb"/>
        <w:shd w:val="clear" w:color="auto" w:fill="FFFFFF"/>
        <w:spacing w:before="0" w:beforeAutospacing="0" w:after="0" w:afterAutospacing="0"/>
        <w:jc w:val="both"/>
        <w:rPr>
          <w:sz w:val="28"/>
          <w:szCs w:val="28"/>
        </w:rPr>
      </w:pPr>
      <w:r w:rsidRPr="00C66635">
        <w:rPr>
          <w:sz w:val="28"/>
          <w:szCs w:val="28"/>
        </w:rPr>
        <w:t>1. Căn cứ theo công năng sử dụng, công trình xây dựng được phân thành các loại như sau:</w:t>
      </w:r>
    </w:p>
    <w:p w:rsidR="00C66635" w:rsidRPr="00C66635" w:rsidRDefault="00C66635" w:rsidP="00C66635">
      <w:pPr>
        <w:pStyle w:val="NormalWeb"/>
        <w:shd w:val="clear" w:color="auto" w:fill="FFFFFF"/>
        <w:spacing w:before="0" w:beforeAutospacing="0" w:after="0" w:afterAutospacing="0"/>
        <w:jc w:val="both"/>
        <w:rPr>
          <w:sz w:val="28"/>
          <w:szCs w:val="28"/>
        </w:rPr>
      </w:pPr>
      <w:r w:rsidRPr="00C66635">
        <w:rPr>
          <w:sz w:val="28"/>
          <w:szCs w:val="28"/>
        </w:rPr>
        <w:t>a) Công trình dân dụng;</w:t>
      </w:r>
    </w:p>
    <w:p w:rsidR="00C66635" w:rsidRPr="00C66635" w:rsidRDefault="00C66635" w:rsidP="00C66635">
      <w:pPr>
        <w:pStyle w:val="NormalWeb"/>
        <w:shd w:val="clear" w:color="auto" w:fill="FFFFFF"/>
        <w:spacing w:before="0" w:beforeAutospacing="0" w:after="0" w:afterAutospacing="0"/>
        <w:jc w:val="both"/>
        <w:rPr>
          <w:sz w:val="28"/>
          <w:szCs w:val="28"/>
        </w:rPr>
      </w:pPr>
      <w:r w:rsidRPr="00C66635">
        <w:rPr>
          <w:sz w:val="28"/>
          <w:szCs w:val="28"/>
        </w:rPr>
        <w:t>b) Công trình công nghiệp;</w:t>
      </w:r>
    </w:p>
    <w:p w:rsidR="00C66635" w:rsidRPr="00C66635" w:rsidRDefault="00C66635" w:rsidP="00C66635">
      <w:pPr>
        <w:pStyle w:val="NormalWeb"/>
        <w:shd w:val="clear" w:color="auto" w:fill="FFFFFF"/>
        <w:spacing w:before="0" w:beforeAutospacing="0" w:after="0" w:afterAutospacing="0"/>
        <w:jc w:val="both"/>
        <w:rPr>
          <w:sz w:val="28"/>
          <w:szCs w:val="28"/>
        </w:rPr>
      </w:pPr>
      <w:r w:rsidRPr="00C66635">
        <w:rPr>
          <w:sz w:val="28"/>
          <w:szCs w:val="28"/>
        </w:rPr>
        <w:t>c) Công trình giao thông;</w:t>
      </w:r>
    </w:p>
    <w:p w:rsidR="00C66635" w:rsidRPr="00C66635" w:rsidRDefault="00C66635" w:rsidP="00C66635">
      <w:pPr>
        <w:pStyle w:val="NormalWeb"/>
        <w:shd w:val="clear" w:color="auto" w:fill="FFFFFF"/>
        <w:spacing w:before="0" w:beforeAutospacing="0" w:after="0" w:afterAutospacing="0"/>
        <w:jc w:val="both"/>
        <w:rPr>
          <w:sz w:val="28"/>
          <w:szCs w:val="28"/>
        </w:rPr>
      </w:pPr>
      <w:r w:rsidRPr="00C66635">
        <w:rPr>
          <w:sz w:val="28"/>
          <w:szCs w:val="28"/>
        </w:rPr>
        <w:t>d) Công trình nông nghiệp và phát triển nông thôn;</w:t>
      </w:r>
    </w:p>
    <w:p w:rsidR="00C66635" w:rsidRPr="00C66635" w:rsidRDefault="00C66635" w:rsidP="00C66635">
      <w:pPr>
        <w:pStyle w:val="NormalWeb"/>
        <w:shd w:val="clear" w:color="auto" w:fill="FFFFFF"/>
        <w:spacing w:before="0" w:beforeAutospacing="0" w:after="0" w:afterAutospacing="0"/>
        <w:jc w:val="both"/>
        <w:rPr>
          <w:sz w:val="28"/>
          <w:szCs w:val="28"/>
        </w:rPr>
      </w:pPr>
      <w:r w:rsidRPr="00C66635">
        <w:rPr>
          <w:sz w:val="28"/>
          <w:szCs w:val="28"/>
        </w:rPr>
        <w:t>đ) Công trình hạ tầng kỹ thuật;</w:t>
      </w:r>
    </w:p>
    <w:p w:rsidR="00C66635" w:rsidRPr="00C66635" w:rsidRDefault="00C66635" w:rsidP="00C66635">
      <w:pPr>
        <w:pStyle w:val="NormalWeb"/>
        <w:shd w:val="clear" w:color="auto" w:fill="FFFFFF"/>
        <w:spacing w:before="0" w:beforeAutospacing="0" w:after="0" w:afterAutospacing="0"/>
        <w:jc w:val="both"/>
        <w:rPr>
          <w:sz w:val="28"/>
          <w:szCs w:val="28"/>
        </w:rPr>
      </w:pPr>
      <w:r w:rsidRPr="00C66635">
        <w:rPr>
          <w:sz w:val="28"/>
          <w:szCs w:val="28"/>
        </w:rPr>
        <w:t>e) Công trình quốc phòng, an ninh.</w:t>
      </w:r>
    </w:p>
    <w:p w:rsidR="00C66635" w:rsidRPr="00C66635" w:rsidRDefault="00C66635" w:rsidP="00C66635">
      <w:pPr>
        <w:pStyle w:val="NormalWeb"/>
        <w:shd w:val="clear" w:color="auto" w:fill="FFFFFF"/>
        <w:spacing w:before="0" w:beforeAutospacing="0" w:after="0" w:afterAutospacing="0"/>
        <w:jc w:val="both"/>
        <w:rPr>
          <w:sz w:val="28"/>
          <w:szCs w:val="28"/>
        </w:rPr>
      </w:pPr>
      <w:r w:rsidRPr="00C66635">
        <w:rPr>
          <w:sz w:val="28"/>
          <w:szCs w:val="28"/>
        </w:rPr>
        <w:t>Danh mục chi tiết các loại công trình được quy định tại Phụ lục I ban hành kèm theo Nghị định này.</w:t>
      </w:r>
    </w:p>
    <w:p w:rsidR="00C66635" w:rsidRPr="00C66635" w:rsidRDefault="00C66635" w:rsidP="00C66635">
      <w:pPr>
        <w:pStyle w:val="NormalWeb"/>
        <w:shd w:val="clear" w:color="auto" w:fill="FFFFFF"/>
        <w:spacing w:before="0" w:beforeAutospacing="0" w:after="0" w:afterAutospacing="0"/>
        <w:jc w:val="both"/>
        <w:rPr>
          <w:sz w:val="28"/>
          <w:szCs w:val="28"/>
        </w:rPr>
      </w:pPr>
      <w:r w:rsidRPr="00C66635">
        <w:rPr>
          <w:sz w:val="28"/>
          <w:szCs w:val="28"/>
        </w:rPr>
        <w:t>2. Đối với công trình không được quy định trong các mục từ mục I đến mục V của Phụ lục I Nghị định này, Bộ Xây dựng chủ trì, phối hợp với Bộ quản lý công trình xây dựng chuyên ngành xác định loại của công trình.</w:t>
      </w:r>
    </w:p>
    <w:p w:rsidR="00C66635" w:rsidRPr="00C66635" w:rsidRDefault="00C66635" w:rsidP="00C66635">
      <w:pPr>
        <w:pStyle w:val="NormalWeb"/>
        <w:shd w:val="clear" w:color="auto" w:fill="FFFFFF"/>
        <w:spacing w:before="0" w:beforeAutospacing="0" w:after="0" w:afterAutospacing="0"/>
        <w:jc w:val="both"/>
        <w:rPr>
          <w:sz w:val="28"/>
          <w:szCs w:val="28"/>
        </w:rPr>
      </w:pPr>
      <w:r w:rsidRPr="00C66635">
        <w:rPr>
          <w:sz w:val="28"/>
          <w:szCs w:val="28"/>
        </w:rPr>
        <w:t>3. Công trình, hạng mục công trình được phân cấp căn cứ trên quy mô, loại kết cấu, tầm quan trọng để áp dụng trong quản lý các hoạt động đầu tư xây dựng sau đây:</w:t>
      </w:r>
    </w:p>
    <w:p w:rsidR="00C66635" w:rsidRPr="00C66635" w:rsidRDefault="00C66635" w:rsidP="00C66635">
      <w:pPr>
        <w:pStyle w:val="NormalWeb"/>
        <w:shd w:val="clear" w:color="auto" w:fill="FFFFFF"/>
        <w:spacing w:before="0" w:beforeAutospacing="0" w:after="0" w:afterAutospacing="0"/>
        <w:jc w:val="both"/>
        <w:rPr>
          <w:sz w:val="28"/>
          <w:szCs w:val="28"/>
        </w:rPr>
      </w:pPr>
      <w:r w:rsidRPr="00C66635">
        <w:rPr>
          <w:sz w:val="28"/>
          <w:szCs w:val="28"/>
        </w:rPr>
        <w:t>a) Quản lý phân hạng năng lực của các chủ thể tham gia hoạt động xây dựng và công bố thông tin năng lực của các tổ chức, cá nhân hoạt động xây dựng công trình;</w:t>
      </w:r>
    </w:p>
    <w:p w:rsidR="00C66635" w:rsidRPr="00C66635" w:rsidRDefault="00C66635" w:rsidP="00C66635">
      <w:pPr>
        <w:pStyle w:val="NormalWeb"/>
        <w:shd w:val="clear" w:color="auto" w:fill="FFFFFF"/>
        <w:spacing w:before="0" w:beforeAutospacing="0" w:after="0" w:afterAutospacing="0"/>
        <w:jc w:val="both"/>
        <w:rPr>
          <w:sz w:val="28"/>
          <w:szCs w:val="28"/>
        </w:rPr>
      </w:pPr>
      <w:r w:rsidRPr="00C66635">
        <w:rPr>
          <w:sz w:val="28"/>
          <w:szCs w:val="28"/>
        </w:rPr>
        <w:t>b) Yêu cầu về cấp công trình phải lập chỉ dẫn kỹ thuật và xác định số bước thiết kế xây dựng công trình;</w:t>
      </w:r>
    </w:p>
    <w:p w:rsidR="00C66635" w:rsidRPr="00C66635" w:rsidRDefault="00C66635" w:rsidP="00C66635">
      <w:pPr>
        <w:pStyle w:val="NormalWeb"/>
        <w:shd w:val="clear" w:color="auto" w:fill="FFFFFF"/>
        <w:spacing w:before="0" w:beforeAutospacing="0" w:after="0" w:afterAutospacing="0"/>
        <w:jc w:val="both"/>
        <w:rPr>
          <w:sz w:val="28"/>
          <w:szCs w:val="28"/>
        </w:rPr>
      </w:pPr>
      <w:r w:rsidRPr="00C66635">
        <w:rPr>
          <w:sz w:val="28"/>
          <w:szCs w:val="28"/>
        </w:rPr>
        <w:lastRenderedPageBreak/>
        <w:t>c) Phân định trách nhiệm thẩm định thiết kế xây dựng, kiểm tra công tác nghiệm thu trong quá trình thi công và khi hoàn thành thi công xây dựng công trình của các cơ quan chuyên môn về xây dựng;</w:t>
      </w:r>
    </w:p>
    <w:p w:rsidR="00C66635" w:rsidRPr="00C66635" w:rsidRDefault="00C66635" w:rsidP="00C66635">
      <w:pPr>
        <w:pStyle w:val="NormalWeb"/>
        <w:shd w:val="clear" w:color="auto" w:fill="FFFFFF"/>
        <w:spacing w:before="0" w:beforeAutospacing="0" w:after="0" w:afterAutospacing="0"/>
        <w:jc w:val="both"/>
        <w:rPr>
          <w:sz w:val="28"/>
          <w:szCs w:val="28"/>
        </w:rPr>
      </w:pPr>
      <w:r w:rsidRPr="00C66635">
        <w:rPr>
          <w:sz w:val="28"/>
          <w:szCs w:val="28"/>
        </w:rPr>
        <w:t>d) Quản lý chi phí đầu tư xây dựng và hợp đồng xây dựng;</w:t>
      </w:r>
    </w:p>
    <w:p w:rsidR="00C66635" w:rsidRPr="00C66635" w:rsidRDefault="00C66635" w:rsidP="00C66635">
      <w:pPr>
        <w:pStyle w:val="NormalWeb"/>
        <w:shd w:val="clear" w:color="auto" w:fill="FFFFFF"/>
        <w:spacing w:before="0" w:beforeAutospacing="0" w:after="0" w:afterAutospacing="0"/>
        <w:jc w:val="both"/>
        <w:rPr>
          <w:sz w:val="28"/>
          <w:szCs w:val="28"/>
        </w:rPr>
      </w:pPr>
      <w:r w:rsidRPr="00C66635">
        <w:rPr>
          <w:sz w:val="28"/>
          <w:szCs w:val="28"/>
        </w:rPr>
        <w:t>đ) Phân cấp thẩm quyền cấp giấy phép xây dựng;</w:t>
      </w:r>
    </w:p>
    <w:p w:rsidR="00C66635" w:rsidRPr="00C66635" w:rsidRDefault="00C66635" w:rsidP="00C66635">
      <w:pPr>
        <w:pStyle w:val="NormalWeb"/>
        <w:shd w:val="clear" w:color="auto" w:fill="FFFFFF"/>
        <w:spacing w:before="0" w:beforeAutospacing="0" w:after="0" w:afterAutospacing="0"/>
        <w:jc w:val="both"/>
        <w:rPr>
          <w:sz w:val="28"/>
          <w:szCs w:val="28"/>
        </w:rPr>
      </w:pPr>
      <w:r w:rsidRPr="00C66635">
        <w:rPr>
          <w:sz w:val="28"/>
          <w:szCs w:val="28"/>
        </w:rPr>
        <w:t>e) Quy định về thời hạn bảo hành công trình xây dựng; quản lý công tác bảo trì công trình xây dựng;</w:t>
      </w:r>
    </w:p>
    <w:p w:rsidR="00C66635" w:rsidRPr="00C66635" w:rsidRDefault="00C66635" w:rsidP="00C66635">
      <w:pPr>
        <w:pStyle w:val="NormalWeb"/>
        <w:shd w:val="clear" w:color="auto" w:fill="FFFFFF"/>
        <w:spacing w:before="0" w:beforeAutospacing="0" w:after="0" w:afterAutospacing="0"/>
        <w:jc w:val="both"/>
        <w:rPr>
          <w:sz w:val="28"/>
          <w:szCs w:val="28"/>
        </w:rPr>
      </w:pPr>
      <w:r w:rsidRPr="00C66635">
        <w:rPr>
          <w:sz w:val="28"/>
          <w:szCs w:val="28"/>
        </w:rPr>
        <w:t>g) Phân cấp sự cố công trình xây dựng và thẩm quyền giải quyết sự cố công trình xây dựng;</w:t>
      </w:r>
    </w:p>
    <w:p w:rsidR="00C66635" w:rsidRPr="00C66635" w:rsidRDefault="00C66635" w:rsidP="00C66635">
      <w:pPr>
        <w:pStyle w:val="NormalWeb"/>
        <w:shd w:val="clear" w:color="auto" w:fill="FFFFFF"/>
        <w:spacing w:before="0" w:beforeAutospacing="0" w:after="0" w:afterAutospacing="0"/>
        <w:jc w:val="both"/>
        <w:rPr>
          <w:sz w:val="28"/>
          <w:szCs w:val="28"/>
        </w:rPr>
      </w:pPr>
      <w:r w:rsidRPr="00C66635">
        <w:rPr>
          <w:sz w:val="28"/>
          <w:szCs w:val="28"/>
        </w:rPr>
        <w:t>h) Các quy định khác có liên quan.</w:t>
      </w:r>
    </w:p>
    <w:p w:rsidR="00C66635" w:rsidRPr="00C66635" w:rsidRDefault="00C66635" w:rsidP="00C66635">
      <w:pPr>
        <w:pStyle w:val="NormalWeb"/>
        <w:shd w:val="clear" w:color="auto" w:fill="FFFFFF"/>
        <w:spacing w:before="0" w:beforeAutospacing="0" w:after="0" w:afterAutospacing="0"/>
        <w:jc w:val="both"/>
        <w:rPr>
          <w:sz w:val="28"/>
          <w:szCs w:val="28"/>
        </w:rPr>
      </w:pPr>
      <w:r w:rsidRPr="00C66635">
        <w:rPr>
          <w:sz w:val="28"/>
          <w:szCs w:val="28"/>
        </w:rPr>
        <w:t>4. Phân cấp công trình để thiết kế xây dựng công trình và để quản lý các nội dung khác được quy định trong các quy chuẩn kỹ thuật, tiêu chuẩn và quy định của pháp luật có liên quan.</w:t>
      </w:r>
    </w:p>
    <w:p w:rsidR="00C66635" w:rsidRPr="00C66635" w:rsidRDefault="00C66635" w:rsidP="00C66635">
      <w:pPr>
        <w:pStyle w:val="NormalWeb"/>
        <w:shd w:val="clear" w:color="auto" w:fill="FFFFFF"/>
        <w:spacing w:before="0" w:beforeAutospacing="0" w:after="0" w:afterAutospacing="0"/>
        <w:jc w:val="both"/>
        <w:rPr>
          <w:sz w:val="28"/>
          <w:szCs w:val="28"/>
        </w:rPr>
      </w:pPr>
      <w:r w:rsidRPr="00C66635">
        <w:rPr>
          <w:sz w:val="28"/>
          <w:szCs w:val="28"/>
        </w:rPr>
        <w:t>5. Bộ Xây dựng chủ trì, phối hợp với các Bộ quản lý công trình xây dựng chuyên ngành hướng dẫn phân cấp các loại công trình xây dựng nêu tại Khoản 3 Điều này.</w:t>
      </w:r>
    </w:p>
    <w:p w:rsidR="00717E2C" w:rsidRPr="00C66635" w:rsidRDefault="00C66635">
      <w:pPr>
        <w:rPr>
          <w:rFonts w:ascii="Times New Roman" w:hAnsi="Times New Roman" w:cs="Times New Roman"/>
          <w:sz w:val="28"/>
          <w:szCs w:val="28"/>
        </w:rPr>
      </w:pPr>
    </w:p>
    <w:sectPr w:rsidR="00717E2C" w:rsidRPr="00C666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635"/>
    <w:rsid w:val="00323C06"/>
    <w:rsid w:val="007B2B74"/>
    <w:rsid w:val="00C66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27F87"/>
  <w15:chartTrackingRefBased/>
  <w15:docId w15:val="{1173F0FC-D87A-457D-BFC9-5C07ACA2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666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666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63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C66635"/>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C666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6635"/>
    <w:rPr>
      <w:b/>
      <w:bCs/>
    </w:rPr>
  </w:style>
  <w:style w:type="character" w:styleId="Hyperlink">
    <w:name w:val="Hyperlink"/>
    <w:basedOn w:val="DefaultParagraphFont"/>
    <w:uiPriority w:val="99"/>
    <w:semiHidden/>
    <w:unhideWhenUsed/>
    <w:rsid w:val="00C666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768509">
      <w:bodyDiv w:val="1"/>
      <w:marLeft w:val="0"/>
      <w:marRight w:val="0"/>
      <w:marTop w:val="0"/>
      <w:marBottom w:val="0"/>
      <w:divBdr>
        <w:top w:val="none" w:sz="0" w:space="0" w:color="auto"/>
        <w:left w:val="none" w:sz="0" w:space="0" w:color="auto"/>
        <w:bottom w:val="none" w:sz="0" w:space="0" w:color="auto"/>
        <w:right w:val="none" w:sz="0" w:space="0" w:color="auto"/>
      </w:divBdr>
    </w:div>
    <w:div w:id="1742411263">
      <w:bodyDiv w:val="1"/>
      <w:marLeft w:val="0"/>
      <w:marRight w:val="0"/>
      <w:marTop w:val="0"/>
      <w:marBottom w:val="0"/>
      <w:divBdr>
        <w:top w:val="none" w:sz="0" w:space="0" w:color="auto"/>
        <w:left w:val="none" w:sz="0" w:space="0" w:color="auto"/>
        <w:bottom w:val="none" w:sz="0" w:space="0" w:color="auto"/>
        <w:right w:val="none" w:sz="0" w:space="0" w:color="auto"/>
      </w:divBdr>
    </w:div>
    <w:div w:id="177701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ndoc.com/nghi-dinh-ve-quan-ly-chat-luong-va-bao-tri-cong-trinh-xay-dung-so-46-2015-nd-cp/download" TargetMode="External"/><Relationship Id="rId4" Type="http://schemas.openxmlformats.org/officeDocument/2006/relationships/hyperlink" Target="https://vndoc.com/luat-so-50-2014-qh13/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2020-03-16T06:51:00Z</dcterms:created>
  <dcterms:modified xsi:type="dcterms:W3CDTF">2020-03-16T06:53:00Z</dcterms:modified>
</cp:coreProperties>
</file>