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4" w:type="dxa"/>
        <w:tblInd w:w="-630" w:type="dxa"/>
        <w:tblLayout w:type="fixed"/>
        <w:tblCellMar>
          <w:left w:w="0" w:type="dxa"/>
          <w:right w:w="0" w:type="dxa"/>
        </w:tblCellMar>
        <w:tblLook w:val="0000" w:firstRow="0" w:lastRow="0" w:firstColumn="0" w:lastColumn="0" w:noHBand="0" w:noVBand="0"/>
      </w:tblPr>
      <w:tblGrid>
        <w:gridCol w:w="3690"/>
        <w:gridCol w:w="6714"/>
      </w:tblGrid>
      <w:tr w:rsidR="00E64626" w:rsidRPr="00E64626" w:rsidTr="00E64626">
        <w:tc>
          <w:tcPr>
            <w:tcW w:w="3690" w:type="dxa"/>
            <w:tcBorders>
              <w:tl2br w:val="nil"/>
              <w:tr2bl w:val="nil"/>
            </w:tcBorders>
            <w:tcMar>
              <w:top w:w="0" w:type="dxa"/>
              <w:left w:w="108" w:type="dxa"/>
              <w:bottom w:w="0" w:type="dxa"/>
              <w:right w:w="108" w:type="dxa"/>
            </w:tcMar>
          </w:tcPr>
          <w:p w:rsidR="00E64626" w:rsidRPr="00E64626" w:rsidRDefault="00E64626" w:rsidP="005A6589">
            <w:pPr>
              <w:spacing w:before="10" w:afterLines="50" w:after="120" w:line="312" w:lineRule="auto"/>
              <w:jc w:val="center"/>
              <w:rPr>
                <w:sz w:val="28"/>
                <w:szCs w:val="28"/>
              </w:rPr>
            </w:pPr>
            <w:r w:rsidRPr="00E64626">
              <w:rPr>
                <w:b/>
                <w:bCs/>
                <w:sz w:val="28"/>
                <w:szCs w:val="28"/>
                <w:lang w:val="vi-VN" w:eastAsia="vi-VN"/>
              </w:rPr>
              <w:t>NGÂN HÀNG NHÀ NƯỚC</w:t>
            </w:r>
            <w:r w:rsidRPr="00E64626">
              <w:rPr>
                <w:b/>
                <w:bCs/>
                <w:sz w:val="28"/>
                <w:szCs w:val="28"/>
              </w:rPr>
              <w:br/>
            </w:r>
            <w:r w:rsidRPr="00E64626">
              <w:rPr>
                <w:b/>
                <w:bCs/>
                <w:sz w:val="28"/>
                <w:szCs w:val="28"/>
                <w:lang w:val="vi-VN" w:eastAsia="vi-VN"/>
              </w:rPr>
              <w:t>VIỆT NAM</w:t>
            </w:r>
            <w:r w:rsidRPr="00E64626">
              <w:rPr>
                <w:b/>
                <w:bCs/>
                <w:sz w:val="28"/>
                <w:szCs w:val="28"/>
                <w:lang w:val="vi-VN" w:eastAsia="vi-VN"/>
              </w:rPr>
              <w:br/>
              <w:t>-------</w:t>
            </w:r>
          </w:p>
        </w:tc>
        <w:tc>
          <w:tcPr>
            <w:tcW w:w="6714" w:type="dxa"/>
            <w:tcBorders>
              <w:tl2br w:val="nil"/>
              <w:tr2bl w:val="nil"/>
            </w:tcBorders>
            <w:tcMar>
              <w:top w:w="0" w:type="dxa"/>
              <w:left w:w="108" w:type="dxa"/>
              <w:bottom w:w="0" w:type="dxa"/>
              <w:right w:w="108" w:type="dxa"/>
            </w:tcMar>
          </w:tcPr>
          <w:p w:rsidR="00E64626" w:rsidRPr="00E64626" w:rsidRDefault="00E64626" w:rsidP="005A6589">
            <w:pPr>
              <w:spacing w:before="10" w:afterLines="50" w:after="120" w:line="312" w:lineRule="auto"/>
              <w:jc w:val="center"/>
              <w:rPr>
                <w:sz w:val="28"/>
                <w:szCs w:val="28"/>
              </w:rPr>
            </w:pPr>
            <w:r w:rsidRPr="00E64626">
              <w:rPr>
                <w:b/>
                <w:bCs/>
                <w:sz w:val="28"/>
                <w:szCs w:val="28"/>
                <w:lang w:val="vi-VN" w:eastAsia="vi-VN"/>
              </w:rPr>
              <w:t>CỘNG HÒA XÃ HỘI CHỦ NGHĨA VIỆT NAM</w:t>
            </w:r>
            <w:r w:rsidRPr="00E64626">
              <w:rPr>
                <w:b/>
                <w:bCs/>
                <w:sz w:val="28"/>
                <w:szCs w:val="28"/>
                <w:lang w:val="vi-VN" w:eastAsia="vi-VN"/>
              </w:rPr>
              <w:br/>
              <w:t xml:space="preserve">Độc lập - Tự do - Hạnh phúc </w:t>
            </w:r>
            <w:r w:rsidRPr="00E64626">
              <w:rPr>
                <w:b/>
                <w:bCs/>
                <w:sz w:val="28"/>
                <w:szCs w:val="28"/>
                <w:lang w:val="vi-VN" w:eastAsia="vi-VN"/>
              </w:rPr>
              <w:br/>
              <w:t>---------------</w:t>
            </w:r>
          </w:p>
        </w:tc>
      </w:tr>
      <w:tr w:rsidR="00E64626" w:rsidRPr="00E64626" w:rsidTr="00E64626">
        <w:tc>
          <w:tcPr>
            <w:tcW w:w="3690" w:type="dxa"/>
            <w:tcBorders>
              <w:tl2br w:val="nil"/>
              <w:tr2bl w:val="nil"/>
            </w:tcBorders>
            <w:tcMar>
              <w:top w:w="0" w:type="dxa"/>
              <w:left w:w="108" w:type="dxa"/>
              <w:bottom w:w="0" w:type="dxa"/>
              <w:right w:w="108" w:type="dxa"/>
            </w:tcMar>
          </w:tcPr>
          <w:p w:rsidR="00E64626" w:rsidRPr="00E64626" w:rsidRDefault="00E64626" w:rsidP="005A6589">
            <w:pPr>
              <w:spacing w:before="10" w:afterLines="50" w:after="120" w:line="312" w:lineRule="auto"/>
              <w:jc w:val="center"/>
              <w:rPr>
                <w:sz w:val="28"/>
                <w:szCs w:val="28"/>
              </w:rPr>
            </w:pPr>
            <w:r w:rsidRPr="00E64626">
              <w:rPr>
                <w:sz w:val="28"/>
                <w:szCs w:val="28"/>
                <w:lang w:val="vi-VN" w:eastAsia="vi-VN"/>
              </w:rPr>
              <w:t>S</w:t>
            </w:r>
            <w:r w:rsidRPr="00E64626">
              <w:rPr>
                <w:sz w:val="28"/>
                <w:szCs w:val="28"/>
              </w:rPr>
              <w:t>ố: 09</w:t>
            </w:r>
            <w:r w:rsidRPr="00E64626">
              <w:rPr>
                <w:sz w:val="28"/>
                <w:szCs w:val="28"/>
                <w:lang w:val="vi-VN" w:eastAsia="vi-VN"/>
              </w:rPr>
              <w:t>/20</w:t>
            </w:r>
            <w:r w:rsidRPr="00E64626">
              <w:rPr>
                <w:sz w:val="28"/>
                <w:szCs w:val="28"/>
              </w:rPr>
              <w:t>16</w:t>
            </w:r>
            <w:r w:rsidRPr="00E64626">
              <w:rPr>
                <w:sz w:val="28"/>
                <w:szCs w:val="28"/>
                <w:lang w:val="vi-VN" w:eastAsia="vi-VN"/>
              </w:rPr>
              <w:t>/TT-NHNN</w:t>
            </w:r>
          </w:p>
        </w:tc>
        <w:tc>
          <w:tcPr>
            <w:tcW w:w="6714" w:type="dxa"/>
            <w:tcBorders>
              <w:tl2br w:val="nil"/>
              <w:tr2bl w:val="nil"/>
            </w:tcBorders>
            <w:tcMar>
              <w:top w:w="0" w:type="dxa"/>
              <w:left w:w="108" w:type="dxa"/>
              <w:bottom w:w="0" w:type="dxa"/>
              <w:right w:w="108" w:type="dxa"/>
            </w:tcMar>
          </w:tcPr>
          <w:p w:rsidR="00E64626" w:rsidRPr="00E64626" w:rsidRDefault="00E64626" w:rsidP="005A6589">
            <w:pPr>
              <w:spacing w:before="10" w:afterLines="50" w:after="120" w:line="312" w:lineRule="auto"/>
              <w:jc w:val="right"/>
              <w:rPr>
                <w:sz w:val="28"/>
                <w:szCs w:val="28"/>
              </w:rPr>
            </w:pPr>
            <w:r w:rsidRPr="00E64626">
              <w:rPr>
                <w:i/>
                <w:iCs/>
                <w:sz w:val="28"/>
                <w:szCs w:val="28"/>
                <w:lang w:val="vi-VN" w:eastAsia="vi-VN"/>
              </w:rPr>
              <w:t>Hà Nội, ngày</w:t>
            </w:r>
            <w:r w:rsidRPr="00E64626">
              <w:rPr>
                <w:i/>
                <w:iCs/>
                <w:sz w:val="28"/>
                <w:szCs w:val="28"/>
              </w:rPr>
              <w:t xml:space="preserve"> 17</w:t>
            </w:r>
            <w:r w:rsidRPr="00E64626">
              <w:rPr>
                <w:i/>
                <w:iCs/>
                <w:sz w:val="28"/>
                <w:szCs w:val="28"/>
                <w:lang w:val="vi-VN" w:eastAsia="vi-VN"/>
              </w:rPr>
              <w:t xml:space="preserve"> tháng </w:t>
            </w:r>
            <w:r w:rsidRPr="00E64626">
              <w:rPr>
                <w:i/>
                <w:iCs/>
                <w:sz w:val="28"/>
                <w:szCs w:val="28"/>
              </w:rPr>
              <w:t>06</w:t>
            </w:r>
            <w:r w:rsidRPr="00E64626">
              <w:rPr>
                <w:i/>
                <w:iCs/>
                <w:sz w:val="28"/>
                <w:szCs w:val="28"/>
                <w:lang w:val="vi-VN" w:eastAsia="vi-VN"/>
              </w:rPr>
              <w:t xml:space="preserve"> năm 2016</w:t>
            </w:r>
          </w:p>
        </w:tc>
        <w:bookmarkStart w:id="0" w:name="_GoBack"/>
        <w:bookmarkEnd w:id="0"/>
      </w:tr>
    </w:tbl>
    <w:p w:rsidR="00E64626" w:rsidRPr="00E64626" w:rsidRDefault="00E64626" w:rsidP="00E64626">
      <w:pPr>
        <w:spacing w:before="10" w:afterLines="50" w:after="120" w:line="312" w:lineRule="auto"/>
        <w:rPr>
          <w:sz w:val="28"/>
          <w:szCs w:val="28"/>
        </w:rPr>
      </w:pPr>
      <w:r w:rsidRPr="00E64626">
        <w:rPr>
          <w:sz w:val="28"/>
          <w:szCs w:val="28"/>
        </w:rPr>
        <w:t> </w:t>
      </w:r>
    </w:p>
    <w:p w:rsidR="00E64626" w:rsidRPr="00E64626" w:rsidRDefault="00E64626" w:rsidP="00E64626">
      <w:pPr>
        <w:spacing w:before="10" w:afterLines="50" w:after="120" w:line="312" w:lineRule="auto"/>
        <w:jc w:val="center"/>
        <w:rPr>
          <w:sz w:val="28"/>
          <w:szCs w:val="28"/>
        </w:rPr>
      </w:pPr>
      <w:r w:rsidRPr="00E64626">
        <w:rPr>
          <w:b/>
          <w:bCs/>
          <w:sz w:val="28"/>
          <w:szCs w:val="28"/>
          <w:lang w:val="vi-VN" w:eastAsia="vi-VN"/>
        </w:rPr>
        <w:t>THÔNG TƯ</w:t>
      </w:r>
    </w:p>
    <w:p w:rsidR="00E64626" w:rsidRPr="00E64626" w:rsidRDefault="00E64626" w:rsidP="00E64626">
      <w:pPr>
        <w:spacing w:before="10" w:afterLines="50" w:after="120" w:line="312" w:lineRule="auto"/>
        <w:jc w:val="center"/>
        <w:rPr>
          <w:sz w:val="28"/>
          <w:szCs w:val="28"/>
        </w:rPr>
      </w:pPr>
      <w:r w:rsidRPr="00E64626">
        <w:rPr>
          <w:sz w:val="28"/>
          <w:szCs w:val="28"/>
          <w:lang w:val="vi-VN" w:eastAsia="vi-VN"/>
        </w:rPr>
        <w:t>SỬA ĐỔI, BỔ SUNG MỘT SỐ ĐIỀU CỦA THÔNG TƯ SỐ 31/2012/TT-NHNN NGÀY 26/11/2012 CỦA THỐNG ĐỐC NGÂN HÀNG NHÀ NƯỚC QUY ĐỊNH VỀ NGÂN HÀNG HỢP TÁC XÃ</w:t>
      </w:r>
    </w:p>
    <w:p w:rsidR="00E64626" w:rsidRPr="00E64626" w:rsidRDefault="00E64626" w:rsidP="00E64626">
      <w:pPr>
        <w:spacing w:before="10" w:afterLines="50" w:after="120" w:line="312" w:lineRule="auto"/>
        <w:jc w:val="both"/>
        <w:rPr>
          <w:sz w:val="28"/>
          <w:szCs w:val="28"/>
        </w:rPr>
      </w:pPr>
      <w:r w:rsidRPr="00E64626">
        <w:rPr>
          <w:i/>
          <w:iCs/>
          <w:sz w:val="28"/>
          <w:szCs w:val="28"/>
          <w:lang w:val="vi-VN" w:eastAsia="vi-VN"/>
        </w:rPr>
        <w:t>Căn cứ Luật Ngân hàng Nhà nước Việt Nam s</w:t>
      </w:r>
      <w:r w:rsidRPr="00E64626">
        <w:rPr>
          <w:i/>
          <w:iCs/>
          <w:sz w:val="28"/>
          <w:szCs w:val="28"/>
        </w:rPr>
        <w:t>ố</w:t>
      </w:r>
      <w:r w:rsidRPr="00E64626">
        <w:rPr>
          <w:i/>
          <w:iCs/>
          <w:sz w:val="28"/>
          <w:szCs w:val="28"/>
          <w:lang w:val="vi-VN" w:eastAsia="vi-VN"/>
        </w:rPr>
        <w:t xml:space="preserve"> 46/2010/QH12 ngày 16 tháng 6 năm 2010;</w:t>
      </w:r>
    </w:p>
    <w:p w:rsidR="00E64626" w:rsidRPr="00E64626" w:rsidRDefault="00E64626" w:rsidP="00E64626">
      <w:pPr>
        <w:spacing w:before="10" w:afterLines="50" w:after="120" w:line="312" w:lineRule="auto"/>
        <w:jc w:val="both"/>
        <w:rPr>
          <w:sz w:val="28"/>
          <w:szCs w:val="28"/>
        </w:rPr>
      </w:pPr>
      <w:r w:rsidRPr="00E64626">
        <w:rPr>
          <w:i/>
          <w:iCs/>
          <w:sz w:val="28"/>
          <w:szCs w:val="28"/>
          <w:lang w:val="vi-VN" w:eastAsia="vi-VN"/>
        </w:rPr>
        <w:t xml:space="preserve">Căn cứ Luật các </w:t>
      </w:r>
      <w:r w:rsidRPr="00E64626">
        <w:rPr>
          <w:i/>
          <w:iCs/>
          <w:sz w:val="28"/>
          <w:szCs w:val="28"/>
          <w:shd w:val="solid" w:color="FFFFFF" w:fill="auto"/>
          <w:lang w:val="vi-VN" w:eastAsia="vi-VN"/>
        </w:rPr>
        <w:t>tổ chức</w:t>
      </w:r>
      <w:r w:rsidRPr="00E64626">
        <w:rPr>
          <w:i/>
          <w:iCs/>
          <w:sz w:val="28"/>
          <w:szCs w:val="28"/>
          <w:lang w:val="vi-VN" w:eastAsia="vi-VN"/>
        </w:rPr>
        <w:t xml:space="preserve"> tín dụng s</w:t>
      </w:r>
      <w:r w:rsidRPr="00E64626">
        <w:rPr>
          <w:i/>
          <w:iCs/>
          <w:sz w:val="28"/>
          <w:szCs w:val="28"/>
        </w:rPr>
        <w:t>ố</w:t>
      </w:r>
      <w:r w:rsidRPr="00E64626">
        <w:rPr>
          <w:i/>
          <w:iCs/>
          <w:sz w:val="28"/>
          <w:szCs w:val="28"/>
          <w:lang w:val="vi-VN" w:eastAsia="vi-VN"/>
        </w:rPr>
        <w:t xml:space="preserve"> 47/20</w:t>
      </w:r>
      <w:r w:rsidRPr="00E64626">
        <w:rPr>
          <w:i/>
          <w:iCs/>
          <w:sz w:val="28"/>
          <w:szCs w:val="28"/>
        </w:rPr>
        <w:t>1</w:t>
      </w:r>
      <w:r w:rsidRPr="00E64626">
        <w:rPr>
          <w:i/>
          <w:iCs/>
          <w:sz w:val="28"/>
          <w:szCs w:val="28"/>
          <w:lang w:val="vi-VN" w:eastAsia="vi-VN"/>
        </w:rPr>
        <w:t xml:space="preserve">0/QH12 ngày 16 </w:t>
      </w:r>
      <w:r w:rsidRPr="00E64626">
        <w:rPr>
          <w:i/>
          <w:iCs/>
          <w:sz w:val="28"/>
          <w:szCs w:val="28"/>
          <w:shd w:val="solid" w:color="FFFFFF" w:fill="auto"/>
          <w:lang w:val="vi-VN" w:eastAsia="vi-VN"/>
        </w:rPr>
        <w:t>tháng</w:t>
      </w:r>
      <w:r w:rsidRPr="00E64626">
        <w:rPr>
          <w:i/>
          <w:iCs/>
          <w:sz w:val="28"/>
          <w:szCs w:val="28"/>
          <w:lang w:val="vi-VN" w:eastAsia="vi-VN"/>
        </w:rPr>
        <w:t xml:space="preserve"> 6 năm</w:t>
      </w:r>
      <w:bookmarkStart w:id="1" w:name="bookmark0"/>
      <w:r w:rsidRPr="00E64626">
        <w:rPr>
          <w:i/>
          <w:iCs/>
          <w:sz w:val="28"/>
          <w:szCs w:val="28"/>
          <w:lang w:val="vi-VN" w:eastAsia="vi-VN"/>
        </w:rPr>
        <w:t xml:space="preserve"> </w:t>
      </w:r>
      <w:bookmarkEnd w:id="1"/>
      <w:r w:rsidRPr="00E64626">
        <w:rPr>
          <w:i/>
          <w:iCs/>
          <w:sz w:val="28"/>
          <w:szCs w:val="28"/>
          <w:lang w:val="vi-VN" w:eastAsia="vi-VN"/>
        </w:rPr>
        <w:t>2010;</w:t>
      </w:r>
    </w:p>
    <w:p w:rsidR="00E64626" w:rsidRPr="00E64626" w:rsidRDefault="00E64626" w:rsidP="00E64626">
      <w:pPr>
        <w:spacing w:before="10" w:afterLines="50" w:after="120" w:line="312" w:lineRule="auto"/>
        <w:jc w:val="both"/>
        <w:rPr>
          <w:sz w:val="28"/>
          <w:szCs w:val="28"/>
        </w:rPr>
      </w:pPr>
      <w:r w:rsidRPr="00E64626">
        <w:rPr>
          <w:i/>
          <w:iCs/>
          <w:sz w:val="28"/>
          <w:szCs w:val="28"/>
          <w:lang w:val="vi-VN" w:eastAsia="vi-VN"/>
        </w:rPr>
        <w:t>Căn cứ Luật Doanh nghiệp số 68/2014/</w:t>
      </w:r>
      <w:r w:rsidRPr="00E64626">
        <w:rPr>
          <w:i/>
          <w:iCs/>
          <w:sz w:val="28"/>
          <w:szCs w:val="28"/>
        </w:rPr>
        <w:t>Q</w:t>
      </w:r>
      <w:r w:rsidRPr="00E64626">
        <w:rPr>
          <w:i/>
          <w:iCs/>
          <w:sz w:val="28"/>
          <w:szCs w:val="28"/>
          <w:lang w:val="vi-VN" w:eastAsia="vi-VN"/>
        </w:rPr>
        <w:t>H</w:t>
      </w:r>
      <w:r w:rsidRPr="00E64626">
        <w:rPr>
          <w:i/>
          <w:iCs/>
          <w:sz w:val="28"/>
          <w:szCs w:val="28"/>
        </w:rPr>
        <w:t>1</w:t>
      </w:r>
      <w:r w:rsidRPr="00E64626">
        <w:rPr>
          <w:i/>
          <w:iCs/>
          <w:sz w:val="28"/>
          <w:szCs w:val="28"/>
          <w:lang w:val="vi-VN" w:eastAsia="vi-VN"/>
        </w:rPr>
        <w:t xml:space="preserve">3 ngày 26 </w:t>
      </w:r>
      <w:r w:rsidRPr="00E64626">
        <w:rPr>
          <w:i/>
          <w:iCs/>
          <w:sz w:val="28"/>
          <w:szCs w:val="28"/>
          <w:shd w:val="solid" w:color="FFFFFF" w:fill="auto"/>
          <w:lang w:val="vi-VN" w:eastAsia="vi-VN"/>
        </w:rPr>
        <w:t>tháng</w:t>
      </w:r>
      <w:r w:rsidRPr="00E64626">
        <w:rPr>
          <w:i/>
          <w:iCs/>
          <w:sz w:val="28"/>
          <w:szCs w:val="28"/>
          <w:lang w:val="vi-VN" w:eastAsia="vi-VN"/>
        </w:rPr>
        <w:t xml:space="preserve"> 11 năm 2014;</w:t>
      </w:r>
    </w:p>
    <w:p w:rsidR="00E64626" w:rsidRPr="00E64626" w:rsidRDefault="00E64626" w:rsidP="00E64626">
      <w:pPr>
        <w:spacing w:before="10" w:afterLines="50" w:after="120" w:line="312" w:lineRule="auto"/>
        <w:jc w:val="both"/>
        <w:rPr>
          <w:sz w:val="28"/>
          <w:szCs w:val="28"/>
        </w:rPr>
      </w:pPr>
      <w:r w:rsidRPr="00E64626">
        <w:rPr>
          <w:i/>
          <w:iCs/>
          <w:sz w:val="28"/>
          <w:szCs w:val="28"/>
          <w:lang w:val="vi-VN" w:eastAsia="vi-VN"/>
        </w:rPr>
        <w:t>Căn cứ Luật Hợp tác xã s</w:t>
      </w:r>
      <w:r w:rsidRPr="00E64626">
        <w:rPr>
          <w:i/>
          <w:iCs/>
          <w:sz w:val="28"/>
          <w:szCs w:val="28"/>
        </w:rPr>
        <w:t>ố</w:t>
      </w:r>
      <w:r w:rsidRPr="00E64626">
        <w:rPr>
          <w:i/>
          <w:iCs/>
          <w:sz w:val="28"/>
          <w:szCs w:val="28"/>
          <w:lang w:val="vi-VN" w:eastAsia="vi-VN"/>
        </w:rPr>
        <w:t xml:space="preserve"> 23/20</w:t>
      </w:r>
      <w:r w:rsidRPr="00E64626">
        <w:rPr>
          <w:i/>
          <w:iCs/>
          <w:sz w:val="28"/>
          <w:szCs w:val="28"/>
        </w:rPr>
        <w:t>1</w:t>
      </w:r>
      <w:r w:rsidRPr="00E64626">
        <w:rPr>
          <w:i/>
          <w:iCs/>
          <w:sz w:val="28"/>
          <w:szCs w:val="28"/>
          <w:lang w:val="vi-VN" w:eastAsia="vi-VN"/>
        </w:rPr>
        <w:t>2/</w:t>
      </w:r>
      <w:r w:rsidRPr="00E64626">
        <w:rPr>
          <w:i/>
          <w:iCs/>
          <w:sz w:val="28"/>
          <w:szCs w:val="28"/>
        </w:rPr>
        <w:t>Q</w:t>
      </w:r>
      <w:r w:rsidRPr="00E64626">
        <w:rPr>
          <w:i/>
          <w:iCs/>
          <w:sz w:val="28"/>
          <w:szCs w:val="28"/>
          <w:lang w:val="vi-VN" w:eastAsia="vi-VN"/>
        </w:rPr>
        <w:t>H</w:t>
      </w:r>
      <w:r w:rsidRPr="00E64626">
        <w:rPr>
          <w:i/>
          <w:iCs/>
          <w:sz w:val="28"/>
          <w:szCs w:val="28"/>
        </w:rPr>
        <w:t>1</w:t>
      </w:r>
      <w:r w:rsidRPr="00E64626">
        <w:rPr>
          <w:i/>
          <w:iCs/>
          <w:sz w:val="28"/>
          <w:szCs w:val="28"/>
          <w:lang w:val="vi-VN" w:eastAsia="vi-VN"/>
        </w:rPr>
        <w:t>3 ngày 20 tháng 11 năm 2012;</w:t>
      </w:r>
    </w:p>
    <w:p w:rsidR="00E64626" w:rsidRPr="00E64626" w:rsidRDefault="00E64626" w:rsidP="00E64626">
      <w:pPr>
        <w:spacing w:before="10" w:afterLines="50" w:after="120" w:line="312" w:lineRule="auto"/>
        <w:jc w:val="both"/>
        <w:rPr>
          <w:sz w:val="28"/>
          <w:szCs w:val="28"/>
        </w:rPr>
      </w:pPr>
      <w:r w:rsidRPr="00E64626">
        <w:rPr>
          <w:i/>
          <w:iCs/>
          <w:sz w:val="28"/>
          <w:szCs w:val="28"/>
          <w:lang w:val="vi-VN" w:eastAsia="vi-VN"/>
        </w:rPr>
        <w:t xml:space="preserve">Căn cứ </w:t>
      </w:r>
      <w:r w:rsidRPr="00E64626">
        <w:rPr>
          <w:i/>
          <w:iCs/>
          <w:sz w:val="28"/>
          <w:szCs w:val="28"/>
          <w:shd w:val="solid" w:color="FFFFFF" w:fill="auto"/>
          <w:lang w:val="vi-VN" w:eastAsia="vi-VN"/>
        </w:rPr>
        <w:t>Nghị định số</w:t>
      </w:r>
      <w:r w:rsidRPr="00E64626">
        <w:rPr>
          <w:i/>
          <w:iCs/>
          <w:sz w:val="28"/>
          <w:szCs w:val="28"/>
          <w:lang w:val="vi-VN" w:eastAsia="vi-VN"/>
        </w:rPr>
        <w:t xml:space="preserve"> </w:t>
      </w:r>
      <w:r w:rsidRPr="00E64626">
        <w:rPr>
          <w:i/>
          <w:iCs/>
          <w:sz w:val="28"/>
          <w:szCs w:val="28"/>
        </w:rPr>
        <w:t>1</w:t>
      </w:r>
      <w:r w:rsidRPr="00E64626">
        <w:rPr>
          <w:i/>
          <w:iCs/>
          <w:sz w:val="28"/>
          <w:szCs w:val="28"/>
          <w:lang w:val="vi-VN" w:eastAsia="vi-VN"/>
        </w:rPr>
        <w:t>56/20</w:t>
      </w:r>
      <w:r w:rsidRPr="00E64626">
        <w:rPr>
          <w:i/>
          <w:iCs/>
          <w:sz w:val="28"/>
          <w:szCs w:val="28"/>
        </w:rPr>
        <w:t>1</w:t>
      </w:r>
      <w:r w:rsidRPr="00E64626">
        <w:rPr>
          <w:i/>
          <w:iCs/>
          <w:sz w:val="28"/>
          <w:szCs w:val="28"/>
          <w:lang w:val="vi-VN" w:eastAsia="vi-VN"/>
        </w:rPr>
        <w:t xml:space="preserve">3/NĐ-CP ngày 11 </w:t>
      </w:r>
      <w:r w:rsidRPr="00E64626">
        <w:rPr>
          <w:i/>
          <w:iCs/>
          <w:sz w:val="28"/>
          <w:szCs w:val="28"/>
          <w:shd w:val="solid" w:color="FFFFFF" w:fill="auto"/>
          <w:lang w:val="vi-VN" w:eastAsia="vi-VN"/>
        </w:rPr>
        <w:t>tháng</w:t>
      </w:r>
      <w:r w:rsidRPr="00E64626">
        <w:rPr>
          <w:i/>
          <w:iCs/>
          <w:sz w:val="28"/>
          <w:szCs w:val="28"/>
          <w:lang w:val="vi-VN" w:eastAsia="vi-VN"/>
        </w:rPr>
        <w:t xml:space="preserve"> </w:t>
      </w:r>
      <w:r w:rsidRPr="00E64626">
        <w:rPr>
          <w:i/>
          <w:iCs/>
          <w:sz w:val="28"/>
          <w:szCs w:val="28"/>
        </w:rPr>
        <w:t>11</w:t>
      </w:r>
      <w:r w:rsidRPr="00E64626">
        <w:rPr>
          <w:i/>
          <w:iCs/>
          <w:sz w:val="28"/>
          <w:szCs w:val="28"/>
          <w:lang w:val="vi-VN" w:eastAsia="vi-VN"/>
        </w:rPr>
        <w:t xml:space="preserve"> năm 20</w:t>
      </w:r>
      <w:r w:rsidRPr="00E64626">
        <w:rPr>
          <w:i/>
          <w:iCs/>
          <w:sz w:val="28"/>
          <w:szCs w:val="28"/>
        </w:rPr>
        <w:t>1</w:t>
      </w:r>
      <w:r w:rsidRPr="00E64626">
        <w:rPr>
          <w:i/>
          <w:iCs/>
          <w:sz w:val="28"/>
          <w:szCs w:val="28"/>
          <w:lang w:val="vi-VN" w:eastAsia="vi-VN"/>
        </w:rPr>
        <w:t xml:space="preserve">3 của </w:t>
      </w:r>
      <w:r w:rsidRPr="00E64626">
        <w:rPr>
          <w:i/>
          <w:iCs/>
          <w:sz w:val="28"/>
          <w:szCs w:val="28"/>
          <w:shd w:val="solid" w:color="FFFFFF" w:fill="auto"/>
          <w:lang w:val="vi-VN" w:eastAsia="vi-VN"/>
        </w:rPr>
        <w:t>Chính phủ</w:t>
      </w:r>
      <w:r w:rsidRPr="00E64626">
        <w:rPr>
          <w:i/>
          <w:iCs/>
          <w:sz w:val="28"/>
          <w:szCs w:val="28"/>
          <w:lang w:val="vi-VN" w:eastAsia="vi-VN"/>
        </w:rPr>
        <w:t xml:space="preserve"> quy định chức năng, nhiệm vụ, quyền hạn và </w:t>
      </w:r>
      <w:r w:rsidRPr="00E64626">
        <w:rPr>
          <w:i/>
          <w:iCs/>
          <w:sz w:val="28"/>
          <w:szCs w:val="28"/>
          <w:shd w:val="solid" w:color="FFFFFF" w:fill="auto"/>
          <w:lang w:val="vi-VN" w:eastAsia="vi-VN"/>
        </w:rPr>
        <w:t>cơ cấu</w:t>
      </w:r>
      <w:r w:rsidRPr="00E64626">
        <w:rPr>
          <w:i/>
          <w:iCs/>
          <w:sz w:val="28"/>
          <w:szCs w:val="28"/>
          <w:lang w:val="vi-VN" w:eastAsia="vi-VN"/>
        </w:rPr>
        <w:t xml:space="preserve"> tổ chức của Ngân hàng Nhà nước Việt Nam;</w:t>
      </w:r>
    </w:p>
    <w:p w:rsidR="00E64626" w:rsidRPr="00E64626" w:rsidRDefault="00E64626" w:rsidP="00E64626">
      <w:pPr>
        <w:spacing w:before="10" w:afterLines="50" w:after="120" w:line="312" w:lineRule="auto"/>
        <w:jc w:val="both"/>
        <w:rPr>
          <w:sz w:val="28"/>
          <w:szCs w:val="28"/>
        </w:rPr>
      </w:pPr>
      <w:r w:rsidRPr="00E64626">
        <w:rPr>
          <w:i/>
          <w:iCs/>
          <w:sz w:val="28"/>
          <w:szCs w:val="28"/>
          <w:lang w:val="vi-VN" w:eastAsia="vi-VN"/>
        </w:rPr>
        <w:t>Theo đ</w:t>
      </w:r>
      <w:r w:rsidRPr="00E64626">
        <w:rPr>
          <w:i/>
          <w:iCs/>
          <w:sz w:val="28"/>
          <w:szCs w:val="28"/>
        </w:rPr>
        <w:t xml:space="preserve">ề </w:t>
      </w:r>
      <w:r w:rsidRPr="00E64626">
        <w:rPr>
          <w:i/>
          <w:iCs/>
          <w:sz w:val="28"/>
          <w:szCs w:val="28"/>
          <w:lang w:val="vi-VN" w:eastAsia="vi-VN"/>
        </w:rPr>
        <w:t>nghị của Chánh T</w:t>
      </w:r>
      <w:r w:rsidRPr="00E64626">
        <w:rPr>
          <w:i/>
          <w:iCs/>
          <w:sz w:val="28"/>
          <w:szCs w:val="28"/>
        </w:rPr>
        <w:t>h</w:t>
      </w:r>
      <w:r w:rsidRPr="00E64626">
        <w:rPr>
          <w:i/>
          <w:iCs/>
          <w:sz w:val="28"/>
          <w:szCs w:val="28"/>
          <w:lang w:val="vi-VN" w:eastAsia="vi-VN"/>
        </w:rPr>
        <w:t>anh tra, giám sát ngân hàng;</w:t>
      </w:r>
    </w:p>
    <w:p w:rsidR="00E64626" w:rsidRPr="00E64626" w:rsidRDefault="00E64626" w:rsidP="00E64626">
      <w:pPr>
        <w:spacing w:before="10" w:afterLines="50" w:after="120" w:line="312" w:lineRule="auto"/>
        <w:jc w:val="both"/>
        <w:rPr>
          <w:sz w:val="28"/>
          <w:szCs w:val="28"/>
        </w:rPr>
      </w:pPr>
      <w:r w:rsidRPr="00E64626">
        <w:rPr>
          <w:i/>
          <w:iCs/>
          <w:sz w:val="28"/>
          <w:szCs w:val="28"/>
          <w:lang w:val="vi-VN" w:eastAsia="vi-VN"/>
        </w:rPr>
        <w:t>Thống đốc Ngân hàng Nhà nước Việt Nam ban hành Thông tư sửa đổi</w:t>
      </w:r>
      <w:r w:rsidRPr="00E64626">
        <w:rPr>
          <w:i/>
          <w:iCs/>
          <w:sz w:val="28"/>
          <w:szCs w:val="28"/>
        </w:rPr>
        <w:t xml:space="preserve">, </w:t>
      </w:r>
      <w:r w:rsidRPr="00E64626">
        <w:rPr>
          <w:i/>
          <w:iCs/>
          <w:sz w:val="28"/>
          <w:szCs w:val="28"/>
          <w:shd w:val="solid" w:color="FFFFFF" w:fill="auto"/>
          <w:lang w:val="vi-VN" w:eastAsia="vi-VN"/>
        </w:rPr>
        <w:t>bổ sung</w:t>
      </w:r>
      <w:r w:rsidRPr="00E64626">
        <w:rPr>
          <w:i/>
          <w:iCs/>
          <w:sz w:val="28"/>
          <w:szCs w:val="28"/>
          <w:lang w:val="vi-VN" w:eastAsia="vi-VN"/>
        </w:rPr>
        <w:t xml:space="preserve"> một số điều của Thông tư số 31/20</w:t>
      </w:r>
      <w:r w:rsidRPr="00E64626">
        <w:rPr>
          <w:i/>
          <w:iCs/>
          <w:sz w:val="28"/>
          <w:szCs w:val="28"/>
        </w:rPr>
        <w:t>1</w:t>
      </w:r>
      <w:r w:rsidRPr="00E64626">
        <w:rPr>
          <w:i/>
          <w:iCs/>
          <w:sz w:val="28"/>
          <w:szCs w:val="28"/>
          <w:lang w:val="vi-VN" w:eastAsia="vi-VN"/>
        </w:rPr>
        <w:t>2/TT-NHNN ngày 26/11/2012 của Th</w:t>
      </w:r>
      <w:r w:rsidRPr="00E64626">
        <w:rPr>
          <w:i/>
          <w:iCs/>
          <w:sz w:val="28"/>
          <w:szCs w:val="28"/>
        </w:rPr>
        <w:t>ố</w:t>
      </w:r>
      <w:r w:rsidRPr="00E64626">
        <w:rPr>
          <w:i/>
          <w:iCs/>
          <w:sz w:val="28"/>
          <w:szCs w:val="28"/>
          <w:lang w:val="vi-VN" w:eastAsia="vi-VN"/>
        </w:rPr>
        <w:t>ng đ</w:t>
      </w:r>
      <w:r w:rsidRPr="00E64626">
        <w:rPr>
          <w:i/>
          <w:iCs/>
          <w:sz w:val="28"/>
          <w:szCs w:val="28"/>
        </w:rPr>
        <w:t>ố</w:t>
      </w:r>
      <w:r w:rsidRPr="00E64626">
        <w:rPr>
          <w:i/>
          <w:iCs/>
          <w:sz w:val="28"/>
          <w:szCs w:val="28"/>
          <w:lang w:val="vi-VN" w:eastAsia="vi-VN"/>
        </w:rPr>
        <w:t>c Ngân hàng Nhà nước quy định về ngân hàng hợp tác xã.</w:t>
      </w:r>
    </w:p>
    <w:p w:rsidR="00E64626" w:rsidRPr="00E64626" w:rsidRDefault="00E64626" w:rsidP="00E64626">
      <w:pPr>
        <w:spacing w:before="10" w:afterLines="50" w:after="120" w:line="312" w:lineRule="auto"/>
        <w:jc w:val="both"/>
        <w:rPr>
          <w:sz w:val="28"/>
          <w:szCs w:val="28"/>
        </w:rPr>
      </w:pPr>
      <w:r w:rsidRPr="00E64626">
        <w:rPr>
          <w:b/>
          <w:bCs/>
          <w:sz w:val="28"/>
          <w:szCs w:val="28"/>
          <w:lang w:val="vi-VN" w:eastAsia="vi-VN"/>
        </w:rPr>
        <w:t xml:space="preserve">Điều 1. Sửa đổi, bổ sung một số điều của Thông tư số 31/2012/TT-NHNN ngày 26/11/2012 của Thống đốc Ngân hàng Nhà nước quy định về ngân hàng </w:t>
      </w:r>
      <w:r w:rsidRPr="00E64626">
        <w:rPr>
          <w:b/>
          <w:bCs/>
          <w:sz w:val="28"/>
          <w:szCs w:val="28"/>
          <w:shd w:val="solid" w:color="FFFFFF" w:fill="auto"/>
          <w:lang w:val="vi-VN" w:eastAsia="vi-VN"/>
        </w:rPr>
        <w:t>hợp tác</w:t>
      </w:r>
      <w:r w:rsidRPr="00E64626">
        <w:rPr>
          <w:b/>
          <w:bCs/>
          <w:sz w:val="28"/>
          <w:szCs w:val="28"/>
          <w:lang w:val="vi-VN" w:eastAsia="vi-VN"/>
        </w:rPr>
        <w:t xml:space="preserve"> xã:</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1. Điều 41 được sửa đổi, bổ sung như sau:</w:t>
      </w:r>
    </w:p>
    <w:p w:rsidR="00E64626" w:rsidRPr="00E64626" w:rsidRDefault="00E64626" w:rsidP="00E64626">
      <w:pPr>
        <w:spacing w:before="10" w:afterLines="50" w:after="120" w:line="312" w:lineRule="auto"/>
        <w:jc w:val="both"/>
        <w:rPr>
          <w:sz w:val="28"/>
          <w:szCs w:val="28"/>
        </w:rPr>
      </w:pPr>
      <w:r w:rsidRPr="00E64626">
        <w:rPr>
          <w:b/>
          <w:bCs/>
          <w:sz w:val="28"/>
          <w:szCs w:val="28"/>
          <w:lang w:val="vi-VN" w:eastAsia="vi-VN"/>
        </w:rPr>
        <w:t xml:space="preserve">“Điều 41. Hoạt động đối </w:t>
      </w:r>
      <w:r w:rsidRPr="00E64626">
        <w:rPr>
          <w:b/>
          <w:bCs/>
          <w:sz w:val="28"/>
          <w:szCs w:val="28"/>
          <w:shd w:val="solid" w:color="FFFFFF" w:fill="auto"/>
          <w:lang w:val="vi-VN" w:eastAsia="vi-VN"/>
        </w:rPr>
        <w:t>với</w:t>
      </w:r>
      <w:r w:rsidRPr="00E64626">
        <w:rPr>
          <w:b/>
          <w:bCs/>
          <w:sz w:val="28"/>
          <w:szCs w:val="28"/>
          <w:lang w:val="vi-VN" w:eastAsia="vi-VN"/>
        </w:rPr>
        <w:t xml:space="preserve"> các quỹ tín dụng nhân dân thành viên</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lastRenderedPageBreak/>
        <w:t>1. Nhận tiền gửi điều hòa vốn, cho vay điều hòa vốn đối với các quỹ tín dụng nhân dân thành viên theo Quy chế điều hòa vốn.</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Việc xây dựng và nội dung của Quy ch</w:t>
      </w:r>
      <w:r w:rsidRPr="00E64626">
        <w:rPr>
          <w:sz w:val="28"/>
          <w:szCs w:val="28"/>
        </w:rPr>
        <w:t xml:space="preserve">ế </w:t>
      </w:r>
      <w:r w:rsidRPr="00E64626">
        <w:rPr>
          <w:sz w:val="28"/>
          <w:szCs w:val="28"/>
          <w:lang w:val="vi-VN" w:eastAsia="vi-VN"/>
        </w:rPr>
        <w:t>điều hòa vốn phải đảm bảo các nguyên t</w:t>
      </w:r>
      <w:r w:rsidRPr="00E64626">
        <w:rPr>
          <w:sz w:val="28"/>
          <w:szCs w:val="28"/>
        </w:rPr>
        <w:t>ắ</w:t>
      </w:r>
      <w:r w:rsidRPr="00E64626">
        <w:rPr>
          <w:sz w:val="28"/>
          <w:szCs w:val="28"/>
          <w:lang w:val="vi-VN" w:eastAsia="vi-VN"/>
        </w:rPr>
        <w:t>c sau:</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a) Qu</w:t>
      </w:r>
      <w:r w:rsidRPr="00E64626">
        <w:rPr>
          <w:sz w:val="28"/>
          <w:szCs w:val="28"/>
        </w:rPr>
        <w:t>ỹ</w:t>
      </w:r>
      <w:r w:rsidRPr="00E64626">
        <w:rPr>
          <w:sz w:val="28"/>
          <w:szCs w:val="28"/>
          <w:lang w:val="vi-VN" w:eastAsia="vi-VN"/>
        </w:rPr>
        <w:t xml:space="preserve"> tín dụng nhân dân thành viên gửi tiền (không kỳ hạn, có kỳ hạn) tại ngân hàng hợp tác xã đ</w:t>
      </w:r>
      <w:r w:rsidRPr="00E64626">
        <w:rPr>
          <w:sz w:val="28"/>
          <w:szCs w:val="28"/>
        </w:rPr>
        <w:t>ể</w:t>
      </w:r>
      <w:r w:rsidRPr="00E64626">
        <w:rPr>
          <w:sz w:val="28"/>
          <w:szCs w:val="28"/>
          <w:lang w:val="vi-VN" w:eastAsia="vi-VN"/>
        </w:rPr>
        <w:t xml:space="preserve"> đi</w:t>
      </w:r>
      <w:r w:rsidRPr="00E64626">
        <w:rPr>
          <w:sz w:val="28"/>
          <w:szCs w:val="28"/>
        </w:rPr>
        <w:t>ề</w:t>
      </w:r>
      <w:r w:rsidRPr="00E64626">
        <w:rPr>
          <w:sz w:val="28"/>
          <w:szCs w:val="28"/>
          <w:lang w:val="vi-VN" w:eastAsia="vi-VN"/>
        </w:rPr>
        <w:t xml:space="preserve">u hòa vốn. </w:t>
      </w:r>
      <w:r w:rsidRPr="00E64626">
        <w:rPr>
          <w:sz w:val="28"/>
          <w:szCs w:val="28"/>
          <w:shd w:val="solid" w:color="FFFFFF" w:fill="auto"/>
          <w:lang w:val="vi-VN" w:eastAsia="vi-VN"/>
        </w:rPr>
        <w:t>Trường hợp</w:t>
      </w:r>
      <w:r w:rsidRPr="00E64626">
        <w:rPr>
          <w:sz w:val="28"/>
          <w:szCs w:val="28"/>
          <w:lang w:val="vi-VN" w:eastAsia="vi-VN"/>
        </w:rPr>
        <w:t xml:space="preserve"> rút tiền trước hạn, quỹ tín dụng nhân dân thông báo trước cho ngân hàng hợp tác xã;</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b) Qu</w:t>
      </w:r>
      <w:r w:rsidRPr="00E64626">
        <w:rPr>
          <w:sz w:val="28"/>
          <w:szCs w:val="28"/>
        </w:rPr>
        <w:t>ỹ</w:t>
      </w:r>
      <w:r w:rsidRPr="00E64626">
        <w:rPr>
          <w:sz w:val="28"/>
          <w:szCs w:val="28"/>
          <w:lang w:val="vi-VN" w:eastAsia="vi-VN"/>
        </w:rPr>
        <w:t xml:space="preserve"> tín dụng nhân dân thành viên được ngân hàng hợp tác xã cho vay đi</w:t>
      </w:r>
      <w:r w:rsidRPr="00E64626">
        <w:rPr>
          <w:sz w:val="28"/>
          <w:szCs w:val="28"/>
        </w:rPr>
        <w:t>ề</w:t>
      </w:r>
      <w:r w:rsidRPr="00E64626">
        <w:rPr>
          <w:sz w:val="28"/>
          <w:szCs w:val="28"/>
          <w:lang w:val="vi-VN" w:eastAsia="vi-VN"/>
        </w:rPr>
        <w:t>u hòa vốn khi có nhu cầu về vốn để mở rộng tín dụng;</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 xml:space="preserve">5. Hỗ trợ các quỹ tín dụng nhân dân trong việc thực hiện kiểm toán nội bộ khi các quỹ tín </w:t>
      </w:r>
      <w:r w:rsidRPr="00E64626">
        <w:rPr>
          <w:sz w:val="28"/>
          <w:szCs w:val="28"/>
        </w:rPr>
        <w:t>d</w:t>
      </w:r>
      <w:r w:rsidRPr="00E64626">
        <w:rPr>
          <w:sz w:val="28"/>
          <w:szCs w:val="28"/>
          <w:lang w:val="vi-VN" w:eastAsia="vi-VN"/>
        </w:rPr>
        <w:t>ụng nhân dân yêu cầu.</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6. Có ý kiến tham gia bằng văn bản đối với danh sách nhân sự dự kiến bầu, b</w:t>
      </w:r>
      <w:r w:rsidRPr="00E64626">
        <w:rPr>
          <w:sz w:val="28"/>
          <w:szCs w:val="28"/>
        </w:rPr>
        <w:t xml:space="preserve">ổ </w:t>
      </w:r>
      <w:r w:rsidRPr="00E64626">
        <w:rPr>
          <w:sz w:val="28"/>
          <w:szCs w:val="28"/>
          <w:lang w:val="vi-VN" w:eastAsia="vi-VN"/>
        </w:rPr>
        <w:t>nhiệm làm Chủ tịch và các thành viên khác của Hội đồng quản trị, Trưởng ban và các thành viên khác của Ban kiểm soát, Giám đốc quỹ tín dụng nhân dân thành viên khi được N</w:t>
      </w:r>
      <w:r w:rsidRPr="00E64626">
        <w:rPr>
          <w:sz w:val="28"/>
          <w:szCs w:val="28"/>
        </w:rPr>
        <w:t>g</w:t>
      </w:r>
      <w:r w:rsidRPr="00E64626">
        <w:rPr>
          <w:sz w:val="28"/>
          <w:szCs w:val="28"/>
          <w:lang w:val="vi-VN" w:eastAsia="vi-VN"/>
        </w:rPr>
        <w:t>ân hàng Nhà nước chi nhánh tỉnh, thành phố trực thuộc Trung ương yêu c</w:t>
      </w:r>
      <w:r w:rsidRPr="00E64626">
        <w:rPr>
          <w:sz w:val="28"/>
          <w:szCs w:val="28"/>
        </w:rPr>
        <w:t>ầ</w:t>
      </w:r>
      <w:r w:rsidRPr="00E64626">
        <w:rPr>
          <w:sz w:val="28"/>
          <w:szCs w:val="28"/>
          <w:lang w:val="vi-VN" w:eastAsia="vi-VN"/>
        </w:rPr>
        <w:t>u.</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7. Thực hiện trách nhiệm khác theo quy định của Điều lệ và pháp luật”.</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4. Khoản 3 Điều 46 được sửa đổi, bổ sung như sau:</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 xml:space="preserve">“3. Chủ trì, </w:t>
      </w:r>
      <w:r w:rsidRPr="00E64626">
        <w:rPr>
          <w:sz w:val="28"/>
          <w:szCs w:val="28"/>
          <w:shd w:val="solid" w:color="FFFFFF" w:fill="auto"/>
          <w:lang w:val="vi-VN" w:eastAsia="vi-VN"/>
        </w:rPr>
        <w:t>phối hợp</w:t>
      </w:r>
      <w:r w:rsidRPr="00E64626">
        <w:rPr>
          <w:sz w:val="28"/>
          <w:szCs w:val="28"/>
          <w:lang w:val="vi-VN" w:eastAsia="vi-VN"/>
        </w:rPr>
        <w:t xml:space="preserve"> với các đơn vị có liên quan thực hiện công tác thanh tra, giám sát hoạt động của ngân hàng hợp tác xã; tiếp nhận và yêu cầu ngân hàng hợp tác xã sửa đổi, </w:t>
      </w:r>
      <w:r w:rsidRPr="00E64626">
        <w:rPr>
          <w:sz w:val="28"/>
          <w:szCs w:val="28"/>
          <w:shd w:val="solid" w:color="FFFFFF" w:fill="auto"/>
          <w:lang w:val="vi-VN" w:eastAsia="vi-VN"/>
        </w:rPr>
        <w:t>bổ sung</w:t>
      </w:r>
      <w:r w:rsidRPr="00E64626">
        <w:rPr>
          <w:sz w:val="28"/>
          <w:szCs w:val="28"/>
          <w:lang w:val="vi-VN" w:eastAsia="vi-VN"/>
        </w:rPr>
        <w:t xml:space="preserve"> Quy chế điều hòa vốn theo quy định tại khoản </w:t>
      </w:r>
      <w:r w:rsidRPr="00E64626">
        <w:rPr>
          <w:sz w:val="28"/>
          <w:szCs w:val="28"/>
        </w:rPr>
        <w:t xml:space="preserve">1 </w:t>
      </w:r>
      <w:r w:rsidRPr="00E64626">
        <w:rPr>
          <w:sz w:val="28"/>
          <w:szCs w:val="28"/>
          <w:lang w:val="vi-VN" w:eastAsia="vi-VN"/>
        </w:rPr>
        <w:t>Điều 41 Thông tư này cho phù hợp với quy định của pháp luật nếu thấy cần thiết” .</w:t>
      </w:r>
    </w:p>
    <w:p w:rsidR="00E64626" w:rsidRPr="00E64626" w:rsidRDefault="00E64626" w:rsidP="00E64626">
      <w:pPr>
        <w:spacing w:before="10" w:afterLines="50" w:after="120" w:line="312" w:lineRule="auto"/>
        <w:jc w:val="both"/>
        <w:rPr>
          <w:sz w:val="28"/>
          <w:szCs w:val="28"/>
        </w:rPr>
      </w:pPr>
      <w:r w:rsidRPr="00E64626">
        <w:rPr>
          <w:b/>
          <w:bCs/>
          <w:sz w:val="28"/>
          <w:szCs w:val="28"/>
          <w:lang w:val="vi-VN" w:eastAsia="vi-VN"/>
        </w:rPr>
        <w:t>Điều 2. Hiệu lực thi hành</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 xml:space="preserve">1. Thông tư này có hiệu lực thi hành kể từ </w:t>
      </w:r>
      <w:r w:rsidRPr="00E64626">
        <w:rPr>
          <w:sz w:val="28"/>
          <w:szCs w:val="28"/>
          <w:shd w:val="solid" w:color="FFFFFF" w:fill="auto"/>
          <w:lang w:val="vi-VN" w:eastAsia="vi-VN"/>
        </w:rPr>
        <w:t>ngày</w:t>
      </w:r>
      <w:r w:rsidRPr="00E64626">
        <w:rPr>
          <w:sz w:val="28"/>
          <w:szCs w:val="28"/>
        </w:rPr>
        <w:t xml:space="preserve"> 15/8/</w:t>
      </w:r>
      <w:r w:rsidRPr="00E64626">
        <w:rPr>
          <w:sz w:val="28"/>
          <w:szCs w:val="28"/>
          <w:lang w:val="vi-VN" w:eastAsia="vi-VN"/>
        </w:rPr>
        <w:t>2016.</w:t>
      </w:r>
    </w:p>
    <w:p w:rsidR="00E64626" w:rsidRPr="00E64626" w:rsidRDefault="00E64626" w:rsidP="00E64626">
      <w:pPr>
        <w:spacing w:before="10" w:afterLines="50" w:after="120" w:line="312" w:lineRule="auto"/>
        <w:jc w:val="both"/>
        <w:rPr>
          <w:sz w:val="28"/>
          <w:szCs w:val="28"/>
        </w:rPr>
      </w:pPr>
      <w:r w:rsidRPr="00E64626">
        <w:rPr>
          <w:sz w:val="28"/>
          <w:szCs w:val="28"/>
          <w:lang w:val="vi-VN" w:eastAsia="vi-VN"/>
        </w:rPr>
        <w:t>2. Chánh Văn phòng, Chánh Thanh tra, giám sát ngân hàng, Thủ trưởng các đơn vị thuộc Ngân hàng Nhà n</w:t>
      </w:r>
      <w:r w:rsidRPr="00E64626">
        <w:rPr>
          <w:sz w:val="28"/>
          <w:szCs w:val="28"/>
          <w:shd w:val="solid" w:color="FFFFFF" w:fill="auto"/>
          <w:lang w:val="vi-VN" w:eastAsia="vi-VN"/>
        </w:rPr>
        <w:t>ướ</w:t>
      </w:r>
      <w:r w:rsidRPr="00E64626">
        <w:rPr>
          <w:sz w:val="28"/>
          <w:szCs w:val="28"/>
          <w:lang w:val="vi-VN" w:eastAsia="vi-VN"/>
        </w:rPr>
        <w:t>c, Giám đốc Ngân hàng Nhà nước chi nhánh các tỉnh, thành phố trực thuộc Trung ương, Chủ tịch Hội đồng quản trị, Tổng giám đ</w:t>
      </w:r>
      <w:r w:rsidRPr="00E64626">
        <w:rPr>
          <w:sz w:val="28"/>
          <w:szCs w:val="28"/>
        </w:rPr>
        <w:t>ố</w:t>
      </w:r>
      <w:r w:rsidRPr="00E64626">
        <w:rPr>
          <w:sz w:val="28"/>
          <w:szCs w:val="28"/>
          <w:lang w:val="vi-VN" w:eastAsia="vi-VN"/>
        </w:rPr>
        <w:t>c ngân hàng hợp tác xã chịu trách nhiệm tổ chức thi hành Thông tư này.</w:t>
      </w:r>
    </w:p>
    <w:p w:rsidR="00E64626" w:rsidRPr="00E64626" w:rsidRDefault="00E64626" w:rsidP="00E64626">
      <w:pPr>
        <w:spacing w:before="10" w:afterLines="50" w:after="120" w:line="312" w:lineRule="auto"/>
        <w:jc w:val="both"/>
        <w:rPr>
          <w:sz w:val="28"/>
          <w:szCs w:val="28"/>
        </w:rPr>
      </w:pPr>
      <w:r w:rsidRPr="00E64626">
        <w:rPr>
          <w:sz w:val="28"/>
          <w:szCs w:val="28"/>
        </w:rPr>
        <w:t> </w:t>
      </w:r>
    </w:p>
    <w:tbl>
      <w:tblPr>
        <w:tblW w:w="0" w:type="auto"/>
        <w:tblLayout w:type="fixed"/>
        <w:tblCellMar>
          <w:left w:w="0" w:type="dxa"/>
          <w:right w:w="0" w:type="dxa"/>
        </w:tblCellMar>
        <w:tblLook w:val="0000" w:firstRow="0" w:lastRow="0" w:firstColumn="0" w:lastColumn="0" w:noHBand="0" w:noVBand="0"/>
      </w:tblPr>
      <w:tblGrid>
        <w:gridCol w:w="4318"/>
        <w:gridCol w:w="4322"/>
      </w:tblGrid>
      <w:tr w:rsidR="00E64626" w:rsidRPr="00E64626" w:rsidTr="005A6589">
        <w:tc>
          <w:tcPr>
            <w:tcW w:w="4318" w:type="dxa"/>
            <w:tcBorders>
              <w:tl2br w:val="nil"/>
              <w:tr2bl w:val="nil"/>
            </w:tcBorders>
            <w:tcMar>
              <w:top w:w="0" w:type="dxa"/>
              <w:left w:w="108" w:type="dxa"/>
              <w:bottom w:w="0" w:type="dxa"/>
              <w:right w:w="108" w:type="dxa"/>
            </w:tcMar>
          </w:tcPr>
          <w:p w:rsidR="00E64626" w:rsidRPr="00E64626" w:rsidRDefault="00E64626" w:rsidP="005A6589">
            <w:pPr>
              <w:spacing w:before="10" w:afterLines="50" w:after="120" w:line="312" w:lineRule="auto"/>
              <w:rPr>
                <w:sz w:val="28"/>
                <w:szCs w:val="28"/>
              </w:rPr>
            </w:pPr>
            <w:r w:rsidRPr="00E64626">
              <w:rPr>
                <w:sz w:val="28"/>
                <w:szCs w:val="28"/>
                <w:lang w:val="vi-VN" w:eastAsia="vi-VN"/>
              </w:rPr>
              <w:t> </w:t>
            </w:r>
            <w:r w:rsidRPr="00E64626">
              <w:rPr>
                <w:b/>
                <w:bCs/>
                <w:i/>
                <w:iCs/>
                <w:sz w:val="28"/>
                <w:szCs w:val="28"/>
                <w:lang w:val="vi-VN" w:eastAsia="vi-VN"/>
              </w:rPr>
              <w:t>Nơi nhận:</w:t>
            </w:r>
            <w:r w:rsidRPr="00E64626">
              <w:rPr>
                <w:b/>
                <w:bCs/>
                <w:i/>
                <w:iCs/>
                <w:sz w:val="28"/>
                <w:szCs w:val="28"/>
                <w:lang w:val="vi-VN" w:eastAsia="vi-VN"/>
              </w:rPr>
              <w:br/>
            </w:r>
            <w:r w:rsidRPr="00E64626">
              <w:rPr>
                <w:sz w:val="28"/>
                <w:szCs w:val="28"/>
                <w:lang w:val="vi-VN" w:eastAsia="vi-VN"/>
              </w:rPr>
              <w:t>- Như Khoản 2 Điều 2;</w:t>
            </w:r>
            <w:r w:rsidRPr="00E64626">
              <w:rPr>
                <w:sz w:val="28"/>
                <w:szCs w:val="28"/>
                <w:lang w:val="vi-VN" w:eastAsia="vi-VN"/>
              </w:rPr>
              <w:br/>
              <w:t xml:space="preserve">- Ban lãnh </w:t>
            </w:r>
            <w:r w:rsidRPr="00E64626">
              <w:rPr>
                <w:sz w:val="28"/>
                <w:szCs w:val="28"/>
              </w:rPr>
              <w:t>đ</w:t>
            </w:r>
            <w:r w:rsidRPr="00E64626">
              <w:rPr>
                <w:sz w:val="28"/>
                <w:szCs w:val="28"/>
                <w:lang w:val="vi-VN" w:eastAsia="vi-VN"/>
              </w:rPr>
              <w:t>ạo NHNN;</w:t>
            </w:r>
            <w:r w:rsidRPr="00E64626">
              <w:rPr>
                <w:sz w:val="28"/>
                <w:szCs w:val="28"/>
                <w:lang w:val="vi-VN" w:eastAsia="vi-VN"/>
              </w:rPr>
              <w:br/>
              <w:t xml:space="preserve">- </w:t>
            </w:r>
            <w:r w:rsidRPr="00E64626">
              <w:rPr>
                <w:sz w:val="28"/>
                <w:szCs w:val="28"/>
                <w:shd w:val="solid" w:color="FFFFFF" w:fill="auto"/>
                <w:lang w:val="vi-VN" w:eastAsia="vi-VN"/>
              </w:rPr>
              <w:t>Văn</w:t>
            </w:r>
            <w:r w:rsidRPr="00E64626">
              <w:rPr>
                <w:sz w:val="28"/>
                <w:szCs w:val="28"/>
                <w:lang w:val="vi-VN" w:eastAsia="vi-VN"/>
              </w:rPr>
              <w:t xml:space="preserve"> phòng Chính phủ ;</w:t>
            </w:r>
            <w:r w:rsidRPr="00E64626">
              <w:rPr>
                <w:sz w:val="28"/>
                <w:szCs w:val="28"/>
                <w:lang w:val="vi-VN" w:eastAsia="vi-VN"/>
              </w:rPr>
              <w:br/>
              <w:t xml:space="preserve">- Bộ Tư Pháp (để </w:t>
            </w:r>
            <w:r w:rsidRPr="00E64626">
              <w:rPr>
                <w:sz w:val="28"/>
                <w:szCs w:val="28"/>
                <w:shd w:val="solid" w:color="FFFFFF" w:fill="auto"/>
                <w:lang w:val="vi-VN" w:eastAsia="vi-VN"/>
              </w:rPr>
              <w:t>kiểm tra</w:t>
            </w:r>
            <w:r w:rsidRPr="00E64626">
              <w:rPr>
                <w:sz w:val="28"/>
                <w:szCs w:val="28"/>
                <w:lang w:val="vi-VN" w:eastAsia="vi-VN"/>
              </w:rPr>
              <w:t>);</w:t>
            </w:r>
            <w:r w:rsidRPr="00E64626">
              <w:rPr>
                <w:sz w:val="28"/>
                <w:szCs w:val="28"/>
                <w:lang w:val="vi-VN" w:eastAsia="vi-VN"/>
              </w:rPr>
              <w:br/>
              <w:t>- Công báo;</w:t>
            </w:r>
            <w:r w:rsidRPr="00E64626">
              <w:rPr>
                <w:sz w:val="28"/>
                <w:szCs w:val="28"/>
                <w:lang w:val="vi-VN" w:eastAsia="vi-VN"/>
              </w:rPr>
              <w:br/>
              <w:t>- Lưu VP, PC, CQTTGSNH (06 bản).</w:t>
            </w:r>
          </w:p>
        </w:tc>
        <w:tc>
          <w:tcPr>
            <w:tcW w:w="4322" w:type="dxa"/>
            <w:tcBorders>
              <w:tl2br w:val="nil"/>
              <w:tr2bl w:val="nil"/>
            </w:tcBorders>
            <w:tcMar>
              <w:top w:w="0" w:type="dxa"/>
              <w:left w:w="108" w:type="dxa"/>
              <w:bottom w:w="0" w:type="dxa"/>
              <w:right w:w="108" w:type="dxa"/>
            </w:tcMar>
          </w:tcPr>
          <w:p w:rsidR="00E64626" w:rsidRPr="00E64626" w:rsidRDefault="00E64626" w:rsidP="005A6589">
            <w:pPr>
              <w:spacing w:before="10" w:afterLines="50" w:after="120" w:line="312" w:lineRule="auto"/>
              <w:jc w:val="center"/>
              <w:rPr>
                <w:sz w:val="28"/>
                <w:szCs w:val="28"/>
              </w:rPr>
            </w:pPr>
            <w:r w:rsidRPr="00E64626">
              <w:rPr>
                <w:b/>
                <w:bCs/>
                <w:sz w:val="28"/>
                <w:szCs w:val="28"/>
              </w:rPr>
              <w:t>KT. THỐNG ĐỐC</w:t>
            </w:r>
            <w:r w:rsidRPr="00E64626">
              <w:rPr>
                <w:b/>
                <w:bCs/>
                <w:sz w:val="28"/>
                <w:szCs w:val="28"/>
              </w:rPr>
              <w:br/>
              <w:t>PHÓ THỐNG ĐỐC</w:t>
            </w:r>
            <w:r w:rsidRPr="00E64626">
              <w:rPr>
                <w:b/>
                <w:bCs/>
                <w:sz w:val="28"/>
                <w:szCs w:val="28"/>
              </w:rPr>
              <w:br/>
            </w:r>
            <w:r w:rsidRPr="00E64626">
              <w:rPr>
                <w:b/>
                <w:bCs/>
                <w:sz w:val="28"/>
                <w:szCs w:val="28"/>
              </w:rPr>
              <w:br/>
            </w:r>
            <w:r w:rsidRPr="00E64626">
              <w:rPr>
                <w:b/>
                <w:bCs/>
                <w:sz w:val="28"/>
                <w:szCs w:val="28"/>
              </w:rPr>
              <w:br/>
            </w:r>
            <w:r w:rsidRPr="00E64626">
              <w:rPr>
                <w:b/>
                <w:bCs/>
                <w:sz w:val="28"/>
                <w:szCs w:val="28"/>
              </w:rPr>
              <w:br/>
            </w:r>
            <w:bookmarkStart w:id="2" w:name="bookmark1"/>
            <w:r w:rsidRPr="00E64626">
              <w:rPr>
                <w:b/>
                <w:bCs/>
                <w:sz w:val="28"/>
                <w:szCs w:val="28"/>
                <w:lang w:val="vi-VN" w:eastAsia="vi-VN"/>
              </w:rPr>
              <w:t>Nguy</w:t>
            </w:r>
            <w:bookmarkEnd w:id="2"/>
            <w:r w:rsidRPr="00E64626">
              <w:rPr>
                <w:b/>
                <w:bCs/>
                <w:sz w:val="28"/>
                <w:szCs w:val="28"/>
              </w:rPr>
              <w:t>ễ</w:t>
            </w:r>
            <w:r w:rsidRPr="00E64626">
              <w:rPr>
                <w:b/>
                <w:bCs/>
                <w:sz w:val="28"/>
                <w:szCs w:val="28"/>
                <w:lang w:val="vi-VN" w:eastAsia="vi-VN"/>
              </w:rPr>
              <w:t>n Phước Thanh</w:t>
            </w:r>
          </w:p>
        </w:tc>
      </w:tr>
    </w:tbl>
    <w:p w:rsidR="00E64626" w:rsidRPr="00E64626" w:rsidRDefault="00E64626" w:rsidP="00E64626">
      <w:pPr>
        <w:spacing w:before="10" w:afterLines="50" w:after="120" w:line="312" w:lineRule="auto"/>
        <w:rPr>
          <w:sz w:val="28"/>
          <w:szCs w:val="28"/>
        </w:rPr>
      </w:pPr>
      <w:r w:rsidRPr="00E64626">
        <w:rPr>
          <w:sz w:val="28"/>
          <w:szCs w:val="28"/>
          <w:lang w:val="vi-VN" w:eastAsia="vi-VN"/>
        </w:rPr>
        <w:t> </w:t>
      </w:r>
    </w:p>
    <w:p w:rsidR="00D62FEC" w:rsidRPr="00E64626" w:rsidRDefault="00D62FEC">
      <w:pPr>
        <w:rPr>
          <w:sz w:val="28"/>
          <w:szCs w:val="28"/>
        </w:rPr>
      </w:pPr>
    </w:p>
    <w:sectPr w:rsidR="00D62FEC" w:rsidRPr="00E646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26"/>
    <w:rsid w:val="00D62FEC"/>
    <w:rsid w:val="00E6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B68DB-F6C3-46EC-94EA-950488A6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2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2020-04-25T08:54:00Z</dcterms:created>
  <dcterms:modified xsi:type="dcterms:W3CDTF">2020-04-25T08:55:00Z</dcterms:modified>
</cp:coreProperties>
</file>