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99" w:rsidRPr="00797E99" w:rsidRDefault="00797E99" w:rsidP="00797E99">
      <w:pPr>
        <w:shd w:val="clear" w:color="auto" w:fill="FFFFFF"/>
        <w:spacing w:after="0" w:line="240" w:lineRule="auto"/>
        <w:jc w:val="center"/>
        <w:outlineLvl w:val="1"/>
        <w:rPr>
          <w:rFonts w:ascii="Times New Roman" w:eastAsia="Times New Roman" w:hAnsi="Times New Roman" w:cs="Times New Roman"/>
          <w:b/>
          <w:bCs/>
          <w:sz w:val="28"/>
          <w:szCs w:val="28"/>
        </w:rPr>
      </w:pPr>
      <w:r w:rsidRPr="00797E99">
        <w:rPr>
          <w:rFonts w:ascii="Times New Roman" w:eastAsia="Times New Roman" w:hAnsi="Times New Roman" w:cs="Times New Roman"/>
          <w:b/>
          <w:bCs/>
          <w:sz w:val="28"/>
          <w:szCs w:val="28"/>
        </w:rPr>
        <w:t>V</w:t>
      </w:r>
      <w:r w:rsidRPr="00797E99">
        <w:rPr>
          <w:rFonts w:ascii="Times New Roman" w:eastAsia="Times New Roman" w:hAnsi="Times New Roman" w:cs="Times New Roman"/>
          <w:b/>
          <w:bCs/>
          <w:sz w:val="28"/>
          <w:szCs w:val="28"/>
        </w:rPr>
        <w:t>ay vốn ngân hàng Agribank</w:t>
      </w:r>
    </w:p>
    <w:p w:rsidR="00797E99" w:rsidRPr="00797E99" w:rsidRDefault="00797E99" w:rsidP="00D81F63">
      <w:pPr>
        <w:shd w:val="clear" w:color="auto" w:fill="FFFFFF"/>
        <w:spacing w:after="0" w:line="240" w:lineRule="auto"/>
        <w:outlineLvl w:val="1"/>
        <w:rPr>
          <w:rFonts w:ascii="Times New Roman" w:eastAsia="Times New Roman" w:hAnsi="Times New Roman" w:cs="Times New Roman"/>
          <w:b/>
          <w:bCs/>
          <w:sz w:val="28"/>
          <w:szCs w:val="28"/>
        </w:rPr>
      </w:pPr>
      <w:bookmarkStart w:id="0" w:name="_GoBack"/>
      <w:bookmarkEnd w:id="0"/>
    </w:p>
    <w:p w:rsidR="00D81F63" w:rsidRPr="00797E99" w:rsidRDefault="00D81F63" w:rsidP="00D81F63">
      <w:pPr>
        <w:shd w:val="clear" w:color="auto" w:fill="FFFFFF"/>
        <w:spacing w:after="0" w:line="240" w:lineRule="auto"/>
        <w:outlineLvl w:val="1"/>
        <w:rPr>
          <w:rFonts w:ascii="Times New Roman" w:eastAsia="Times New Roman" w:hAnsi="Times New Roman" w:cs="Times New Roman"/>
          <w:b/>
          <w:bCs/>
          <w:sz w:val="28"/>
          <w:szCs w:val="28"/>
        </w:rPr>
      </w:pPr>
      <w:r w:rsidRPr="00797E99">
        <w:rPr>
          <w:rFonts w:ascii="Times New Roman" w:eastAsia="Times New Roman" w:hAnsi="Times New Roman" w:cs="Times New Roman"/>
          <w:b/>
          <w:bCs/>
          <w:sz w:val="28"/>
          <w:szCs w:val="28"/>
        </w:rPr>
        <w:t>Đối tượng vay vốn ngân hàng Agribank</w:t>
      </w:r>
    </w:p>
    <w:p w:rsidR="00D81F63" w:rsidRPr="00797E99" w:rsidRDefault="00D81F63" w:rsidP="00D81F63">
      <w:pPr>
        <w:shd w:val="clear" w:color="auto" w:fill="FFFFFF"/>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Pháp nhân và cá nhân Việt Nam đều thuộc đối tượng vay vốn của ngân hàng Agribank. Trong đó, pháp nhân bao gồm: Doanh nghiệp nhà nước, hợp tác xã, công ty trách nhiệm hữu hạn, công ty cổ phần, doanh nghiệp có vốn đầu tư nước ngoài và các tổ chức khác có đủ các điều kiện quy định tại Điều 94 Bộ Luật dân sự; Tổ hợp tác; Doanh nghiệp tư nhân; Công ty hợp danh.</w:t>
      </w:r>
    </w:p>
    <w:p w:rsidR="00D81F63" w:rsidRPr="00797E99" w:rsidRDefault="00D81F63" w:rsidP="00D81F63">
      <w:pPr>
        <w:shd w:val="clear" w:color="auto" w:fill="FFFFFF"/>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Các đối tượng đáp ứng đủ điều kiện vay theo quy định của ngân hàng Agribank đều có thể được hỗ trợ tất cả các khoản vay đáp ứng mọi nhu cầu riêng. Chẳng hạn vay vốn để phục vụ nhu cầu sản xuất, kinh doanh, các dự án đầu tư hay chỉ vay để tiêu dùng, phục vụ đời sống, xuất nhập khẩu, xuất khẩu lao động,…</w:t>
      </w:r>
    </w:p>
    <w:p w:rsidR="00D81F63" w:rsidRPr="00797E99" w:rsidRDefault="00D81F63" w:rsidP="00D81F63">
      <w:pPr>
        <w:shd w:val="clear" w:color="auto" w:fill="FFFFFF"/>
        <w:spacing w:after="0" w:line="240" w:lineRule="auto"/>
        <w:outlineLvl w:val="1"/>
        <w:rPr>
          <w:rFonts w:ascii="Times New Roman" w:eastAsia="Times New Roman" w:hAnsi="Times New Roman" w:cs="Times New Roman"/>
          <w:b/>
          <w:bCs/>
          <w:sz w:val="28"/>
          <w:szCs w:val="28"/>
        </w:rPr>
      </w:pPr>
      <w:r w:rsidRPr="00797E99">
        <w:rPr>
          <w:rFonts w:ascii="Times New Roman" w:eastAsia="Times New Roman" w:hAnsi="Times New Roman" w:cs="Times New Roman"/>
          <w:b/>
          <w:bCs/>
          <w:sz w:val="28"/>
          <w:szCs w:val="28"/>
        </w:rPr>
        <w:t>Thủ tục vay vốn ngân hàng Agribank đối với pháp nhân, doanh nghiệp tư nhân, công ty hợp danh</w:t>
      </w:r>
    </w:p>
    <w:p w:rsidR="00D81F63" w:rsidRPr="00797E99" w:rsidRDefault="00D81F63" w:rsidP="00D81F63">
      <w:pPr>
        <w:shd w:val="clear" w:color="auto" w:fill="FFFFFF"/>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Thủ tục vay vốn ngân hàng nông nghiệp và phát triển nông thôn - Thông thường, khi vay vốn tại ngân hàng Agribank quý khách cần chuẩn bị bộ hồ sơ vay vốn gồm 3 loại chính là: Hồ sơ pháp lý, Hồ sơ kinh tế, Hồ sơ vay vốn.</w:t>
      </w:r>
    </w:p>
    <w:tbl>
      <w:tblPr>
        <w:tblW w:w="904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4"/>
        <w:gridCol w:w="7207"/>
      </w:tblGrid>
      <w:tr w:rsidR="00797E99" w:rsidRPr="00797E99" w:rsidTr="00797E99">
        <w:trPr>
          <w:trHeight w:val="661"/>
          <w:tblCellSpacing w:w="0" w:type="dxa"/>
        </w:trPr>
        <w:tc>
          <w:tcPr>
            <w:tcW w:w="1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b/>
                <w:bCs/>
                <w:sz w:val="28"/>
                <w:szCs w:val="28"/>
              </w:rPr>
              <w:t>Loại hồ sơ</w:t>
            </w:r>
          </w:p>
        </w:tc>
        <w:tc>
          <w:tcPr>
            <w:tcW w:w="7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b/>
                <w:bCs/>
                <w:sz w:val="28"/>
                <w:szCs w:val="28"/>
              </w:rPr>
              <w:t>Các giấy tờ cần có</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tc>
      </w:tr>
      <w:tr w:rsidR="00797E99" w:rsidRPr="00797E99" w:rsidTr="00797E99">
        <w:trPr>
          <w:trHeight w:val="4293"/>
          <w:tblCellSpacing w:w="0" w:type="dxa"/>
        </w:trPr>
        <w:tc>
          <w:tcPr>
            <w:tcW w:w="1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Hồ sơ pháp lý</w:t>
            </w:r>
          </w:p>
        </w:tc>
        <w:tc>
          <w:tcPr>
            <w:tcW w:w="7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Khi vay vốn lần đầu tại ngân hàng Agibank, tùy từng loại hình doanh nghiệp đều phải chuẩn bị bộ hồ sơ gồm các giấy tờ (bản sao có công chứng) sau:</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Điều lệ doanh nghiệp (trừ doanh nghiệp tư nhân);</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Quyết định bổ nhiệm Chủ tịch Hội đồng quản trị (nếu có), Tổng giám đốc (giám đốc), kế toán trưởng; quyết định công nhận ban quản trị, chủ nhiệm hợp tác xã;</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Đăng ký kinh doanh;</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Giấy phép hành nghề (nếu có);</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Giấy phép đầu tư (đối với doanh nghiệp có vốn đầu tư nước ngoài);</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Biên bản góp vốn, danh sách thành viên sáng lập (công ty cổ phần, công ty trách nhiệm hữu hạn, công ty hợp danh);</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Các thủ tục về kế toán theo quy định của ngân hàng.</w:t>
            </w:r>
          </w:p>
        </w:tc>
      </w:tr>
      <w:tr w:rsidR="00797E99" w:rsidRPr="00797E99" w:rsidTr="00797E99">
        <w:trPr>
          <w:trHeight w:val="984"/>
          <w:tblCellSpacing w:w="0" w:type="dxa"/>
        </w:trPr>
        <w:tc>
          <w:tcPr>
            <w:tcW w:w="1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Hồ sơ kinh tế</w:t>
            </w:r>
          </w:p>
        </w:tc>
        <w:tc>
          <w:tcPr>
            <w:tcW w:w="7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Thành phần giấy tờ có trong hồ sơ kinh tế gồm:</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Kế hoạch sản xuất, kinh doanh trong kỳ;</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Báo cáo thực hiện kế hoạch sản xuất, kinh doanh kỳ gần nhất.</w:t>
            </w:r>
          </w:p>
        </w:tc>
      </w:tr>
      <w:tr w:rsidR="00797E99" w:rsidRPr="00797E99" w:rsidTr="00797E99">
        <w:trPr>
          <w:trHeight w:val="1661"/>
          <w:tblCellSpacing w:w="0" w:type="dxa"/>
        </w:trPr>
        <w:tc>
          <w:tcPr>
            <w:tcW w:w="1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Hồ sơ vay vốn</w:t>
            </w:r>
          </w:p>
        </w:tc>
        <w:tc>
          <w:tcPr>
            <w:tcW w:w="7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Thành phần giấy tờ có trong hồ sơ vay vốn bao gồm:</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Giấy đề nghị vay vốn;</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Dự án, phương án sản xuất, kinh doanh, dịch vụ, đời sống;</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Các chứng từ có liên quan (xuất trình khi vay vốn);</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Hồ sơ bảo đảm tiền vay theo quy định.</w:t>
            </w:r>
          </w:p>
        </w:tc>
      </w:tr>
    </w:tbl>
    <w:p w:rsidR="00D81F63" w:rsidRPr="00797E99" w:rsidRDefault="00D81F63" w:rsidP="00D81F63">
      <w:pPr>
        <w:shd w:val="clear" w:color="auto" w:fill="FFFFFF"/>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hd w:val="clear" w:color="auto" w:fill="FFFFFF"/>
        <w:spacing w:after="0" w:line="240" w:lineRule="auto"/>
        <w:outlineLvl w:val="1"/>
        <w:rPr>
          <w:rFonts w:ascii="Times New Roman" w:eastAsia="Times New Roman" w:hAnsi="Times New Roman" w:cs="Times New Roman"/>
          <w:b/>
          <w:bCs/>
          <w:sz w:val="28"/>
          <w:szCs w:val="28"/>
        </w:rPr>
      </w:pPr>
      <w:r w:rsidRPr="00797E99">
        <w:rPr>
          <w:rFonts w:ascii="Times New Roman" w:eastAsia="Times New Roman" w:hAnsi="Times New Roman" w:cs="Times New Roman"/>
          <w:b/>
          <w:bCs/>
          <w:sz w:val="28"/>
          <w:szCs w:val="28"/>
        </w:rPr>
        <w:lastRenderedPageBreak/>
        <w:t>Thủ tục vay vốn ngân hàng Agribank đối với hộ gia đình, cá nhân, tổ hợp tác</w:t>
      </w:r>
    </w:p>
    <w:p w:rsidR="00D81F63" w:rsidRPr="00797E99" w:rsidRDefault="00D81F63" w:rsidP="00D81F63">
      <w:pPr>
        <w:shd w:val="clear" w:color="auto" w:fill="FFFFFF"/>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Hộ gia đình, cá nhân, tổ hợp tác khi đi vay vốn ngân hàng Agribank cần chuẩn bị bộ hồ sơ gồm các giấy tờ cụ thể như sau:</w:t>
      </w:r>
    </w:p>
    <w:tbl>
      <w:tblPr>
        <w:tblW w:w="94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8"/>
        <w:gridCol w:w="7588"/>
      </w:tblGrid>
      <w:tr w:rsidR="00797E99" w:rsidRPr="00797E99" w:rsidTr="00797E99">
        <w:trPr>
          <w:trHeight w:val="715"/>
          <w:tblCellSpacing w:w="0" w:type="dxa"/>
        </w:trPr>
        <w:tc>
          <w:tcPr>
            <w:tcW w:w="1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b/>
                <w:bCs/>
                <w:sz w:val="28"/>
                <w:szCs w:val="28"/>
              </w:rPr>
              <w:t>Loại hồ sơ</w:t>
            </w:r>
          </w:p>
        </w:tc>
        <w:tc>
          <w:tcPr>
            <w:tcW w:w="75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b/>
                <w:bCs/>
                <w:sz w:val="28"/>
                <w:szCs w:val="28"/>
              </w:rPr>
              <w:t>Các giấy tờ cần có</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tc>
      </w:tr>
      <w:tr w:rsidR="00797E99" w:rsidRPr="00797E99" w:rsidTr="00797E99">
        <w:trPr>
          <w:trHeight w:val="1430"/>
          <w:tblCellSpacing w:w="0" w:type="dxa"/>
        </w:trPr>
        <w:tc>
          <w:tcPr>
            <w:tcW w:w="1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Hồ sơ pháp lý</w:t>
            </w:r>
          </w:p>
        </w:tc>
        <w:tc>
          <w:tcPr>
            <w:tcW w:w="75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Hồ sơ pháp lý bao gồm các giấy sau:</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Đăng ký kinh doanh đối với cá nhân phải đăng ký kinh doanh;</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Hợp đồng hợp tác (đối với tổ hợp tác);</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Giấy ủy quyền cho người đại diện (nếu có).</w:t>
            </w:r>
          </w:p>
        </w:tc>
      </w:tr>
      <w:tr w:rsidR="00797E99" w:rsidRPr="00797E99" w:rsidTr="00797E99">
        <w:trPr>
          <w:trHeight w:val="5708"/>
          <w:tblCellSpacing w:w="0" w:type="dxa"/>
        </w:trPr>
        <w:tc>
          <w:tcPr>
            <w:tcW w:w="1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Hồ sơ vay vốn</w:t>
            </w:r>
          </w:p>
        </w:tc>
        <w:tc>
          <w:tcPr>
            <w:tcW w:w="75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Hộ gia đình sản xuất nông, lâm, ngư, diêm nghiệp vay vốn không phải thực hiện bảo đảm bằng tài sản cần có: Giấy đề nghị kiêm phương án vay vốn.</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Hộ gia đình, cá nhân, tổ hợp tác (trừ hộ gia đình được quy định tại điểm trên):</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Giấy đề nghị vay vốn;</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Dự án, phương án sản xuất, kinh doanh, dịch vụ;</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Hồ sơ bảo đảm tiền vay theo quy định.</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Ngoài các hồ sơ đã quy định như trên, đối với:</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Hộ gia đình, cá nhân vay qua tổ vay vốn phải có thêm: Biên bản thành lập tổ vay vốn; Hợp đồng làm dịch vụ.</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Hộ gia đình, cá nhân vay thông qua doanh nghiệp, phải có thêm: Hợp đồng làm dịch vụ.</w:t>
            </w:r>
          </w:p>
          <w:p w:rsidR="00D81F63" w:rsidRPr="00797E99" w:rsidRDefault="00D81F63" w:rsidP="00D81F63">
            <w:pPr>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 Doanh nghiệp vay để chuyển tải vốn cho hộ gia đình, cá nhân phải có thêm: Hợp đồng cung ứng vật tư, tiền vốn cho hộ gia đình, cá nhân nhận khoán; Danh sách hộ gia đình, cá nhân đề nghị ngân hàng cho vay.</w:t>
            </w:r>
          </w:p>
        </w:tc>
      </w:tr>
    </w:tbl>
    <w:p w:rsidR="00D81F63" w:rsidRPr="00797E99" w:rsidRDefault="00D81F63" w:rsidP="00D81F63">
      <w:pPr>
        <w:shd w:val="clear" w:color="auto" w:fill="FFFFFF"/>
        <w:spacing w:after="0" w:line="240" w:lineRule="auto"/>
        <w:outlineLvl w:val="1"/>
        <w:rPr>
          <w:rFonts w:ascii="Times New Roman" w:eastAsia="Times New Roman" w:hAnsi="Times New Roman" w:cs="Times New Roman"/>
          <w:b/>
          <w:bCs/>
          <w:sz w:val="28"/>
          <w:szCs w:val="28"/>
        </w:rPr>
      </w:pPr>
      <w:r w:rsidRPr="00797E99">
        <w:rPr>
          <w:rFonts w:ascii="Times New Roman" w:eastAsia="Times New Roman" w:hAnsi="Times New Roman" w:cs="Times New Roman"/>
          <w:b/>
          <w:bCs/>
          <w:sz w:val="28"/>
          <w:szCs w:val="28"/>
        </w:rPr>
        <w:t>Thủ tục vay vốn ngân hàng Agribank đối với khách hàng vay nhu cầu đời sống</w:t>
      </w:r>
    </w:p>
    <w:p w:rsidR="00D81F63" w:rsidRPr="00797E99" w:rsidRDefault="00D81F63" w:rsidP="00D81F63">
      <w:pPr>
        <w:shd w:val="clear" w:color="auto" w:fill="FFFFFF"/>
        <w:spacing w:after="0" w:line="240" w:lineRule="auto"/>
        <w:rPr>
          <w:rFonts w:ascii="Times New Roman" w:eastAsia="Times New Roman" w:hAnsi="Times New Roman" w:cs="Times New Roman"/>
          <w:sz w:val="28"/>
          <w:szCs w:val="28"/>
        </w:rPr>
      </w:pPr>
      <w:r w:rsidRPr="00797E99">
        <w:rPr>
          <w:rFonts w:ascii="Times New Roman" w:eastAsia="Times New Roman" w:hAnsi="Times New Roman" w:cs="Times New Roman"/>
          <w:sz w:val="28"/>
          <w:szCs w:val="28"/>
        </w:rPr>
        <w:t>Riêng khách hàng là người hưởng lương vay vốn nhu cầu đời sống phải có xác nhận của cơ quan quản lý lao động hoặc cơ quan quản lý chi trả thu nhập. Agribank có thể thỏa thuận với người vay vốn và các cơ quan quản lý nói trên về việc người vay ủy quyền cho cơ quan, đơn vị trả nợ cho Agribank từ các khoản thu nhập của mình.</w:t>
      </w:r>
    </w:p>
    <w:p w:rsidR="004E13D4" w:rsidRPr="00797E99" w:rsidRDefault="004E13D4">
      <w:pPr>
        <w:rPr>
          <w:rFonts w:ascii="Times New Roman" w:hAnsi="Times New Roman" w:cs="Times New Roman"/>
          <w:sz w:val="28"/>
          <w:szCs w:val="28"/>
        </w:rPr>
      </w:pPr>
    </w:p>
    <w:sectPr w:rsidR="004E13D4" w:rsidRPr="00797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63"/>
    <w:rsid w:val="004E13D4"/>
    <w:rsid w:val="00797E99"/>
    <w:rsid w:val="00D81F6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987F"/>
  <w15:chartTrackingRefBased/>
  <w15:docId w15:val="{6DCAEDCD-4B77-4C8B-9957-37DAAB04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7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vn</cp:lastModifiedBy>
  <cp:revision>2</cp:revision>
  <dcterms:created xsi:type="dcterms:W3CDTF">2020-05-13T12:13:00Z</dcterms:created>
  <dcterms:modified xsi:type="dcterms:W3CDTF">2020-05-26T18:23:00Z</dcterms:modified>
</cp:coreProperties>
</file>